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D83F2" w14:textId="09E431EA" w:rsidR="0013053A" w:rsidRDefault="0013053A" w:rsidP="00B0275B">
      <w:pPr>
        <w:spacing w:line="480" w:lineRule="auto"/>
        <w:jc w:val="both"/>
      </w:pPr>
      <w:proofErr w:type="spellStart"/>
      <w:r w:rsidRPr="0013053A">
        <w:rPr>
          <w:b/>
        </w:rPr>
        <w:t>Title</w:t>
      </w:r>
      <w:proofErr w:type="spellEnd"/>
      <w:r w:rsidRPr="0013053A">
        <w:rPr>
          <w:b/>
        </w:rPr>
        <w:t>:</w:t>
      </w:r>
      <w:r>
        <w:t xml:space="preserve"> A</w:t>
      </w:r>
      <w:r w:rsidRPr="00824032">
        <w:t>valiação da prevalência e relação entre o desvio de septo nasal e a presença de concha média bolhosa por meio de tomografia computadorizada de feixe cônico</w:t>
      </w:r>
      <w:r>
        <w:t>.</w:t>
      </w:r>
    </w:p>
    <w:p w14:paraId="2C04AC84" w14:textId="4A5B0A63" w:rsidR="003C3C74" w:rsidRPr="0013053A" w:rsidRDefault="003C3C74" w:rsidP="00B0275B">
      <w:pPr>
        <w:spacing w:line="480" w:lineRule="auto"/>
        <w:jc w:val="both"/>
      </w:pPr>
      <w:r w:rsidRPr="009C258C">
        <w:rPr>
          <w:rStyle w:val="hps"/>
          <w:color w:val="222222"/>
          <w:lang w:val="en-US"/>
        </w:rPr>
        <w:t>Analysis of prevalence</w:t>
      </w:r>
      <w:r w:rsidRPr="009C258C">
        <w:rPr>
          <w:color w:val="222222"/>
          <w:lang w:val="en-US"/>
        </w:rPr>
        <w:t xml:space="preserve"> </w:t>
      </w:r>
      <w:r w:rsidRPr="009C258C">
        <w:rPr>
          <w:rStyle w:val="hps"/>
          <w:color w:val="222222"/>
          <w:lang w:val="en-US"/>
        </w:rPr>
        <w:t>and relationship</w:t>
      </w:r>
      <w:r w:rsidRPr="009C258C">
        <w:rPr>
          <w:color w:val="222222"/>
          <w:lang w:val="en-US"/>
        </w:rPr>
        <w:t xml:space="preserve"> between</w:t>
      </w:r>
      <w:r w:rsidRPr="009C258C">
        <w:rPr>
          <w:rStyle w:val="hps"/>
          <w:color w:val="222222"/>
          <w:lang w:val="en-US"/>
        </w:rPr>
        <w:t xml:space="preserve"> nasal</w:t>
      </w:r>
      <w:r w:rsidRPr="009C258C">
        <w:rPr>
          <w:color w:val="222222"/>
          <w:lang w:val="en-US"/>
        </w:rPr>
        <w:t xml:space="preserve"> </w:t>
      </w:r>
      <w:r w:rsidRPr="009C258C">
        <w:rPr>
          <w:rStyle w:val="hps"/>
          <w:color w:val="222222"/>
          <w:lang w:val="en-US"/>
        </w:rPr>
        <w:t>septum deviation and</w:t>
      </w:r>
      <w:r w:rsidRPr="009C258C">
        <w:rPr>
          <w:color w:val="222222"/>
          <w:lang w:val="en-US"/>
        </w:rPr>
        <w:t xml:space="preserve"> </w:t>
      </w:r>
      <w:r w:rsidRPr="009C258C">
        <w:rPr>
          <w:rStyle w:val="hps"/>
          <w:color w:val="222222"/>
          <w:lang w:val="en-US"/>
        </w:rPr>
        <w:t>the presence of</w:t>
      </w:r>
      <w:r w:rsidRPr="009C258C">
        <w:rPr>
          <w:color w:val="222222"/>
          <w:lang w:val="en-US"/>
        </w:rPr>
        <w:t xml:space="preserve"> </w:t>
      </w:r>
      <w:r w:rsidRPr="009C258C">
        <w:rPr>
          <w:rStyle w:val="hps"/>
          <w:color w:val="222222"/>
          <w:lang w:val="en-US"/>
        </w:rPr>
        <w:t xml:space="preserve">concha </w:t>
      </w:r>
      <w:proofErr w:type="spellStart"/>
      <w:r w:rsidRPr="009C258C">
        <w:rPr>
          <w:rStyle w:val="hps"/>
          <w:color w:val="222222"/>
          <w:lang w:val="en-US"/>
        </w:rPr>
        <w:t>bullosa</w:t>
      </w:r>
      <w:proofErr w:type="spellEnd"/>
      <w:r w:rsidRPr="009C258C">
        <w:rPr>
          <w:rStyle w:val="hps"/>
          <w:color w:val="222222"/>
          <w:lang w:val="en-US"/>
        </w:rPr>
        <w:t xml:space="preserve"> by</w:t>
      </w:r>
      <w:r w:rsidRPr="009C258C">
        <w:rPr>
          <w:color w:val="222222"/>
          <w:lang w:val="en-US"/>
        </w:rPr>
        <w:t xml:space="preserve"> </w:t>
      </w:r>
      <w:r w:rsidRPr="009C258C">
        <w:rPr>
          <w:rStyle w:val="hps"/>
          <w:color w:val="222222"/>
          <w:lang w:val="en-US"/>
        </w:rPr>
        <w:t>cone-beam</w:t>
      </w:r>
      <w:r w:rsidRPr="009C258C">
        <w:rPr>
          <w:color w:val="222222"/>
          <w:lang w:val="en-US"/>
        </w:rPr>
        <w:t xml:space="preserve"> </w:t>
      </w:r>
      <w:r w:rsidRPr="009C258C">
        <w:rPr>
          <w:rStyle w:val="hps"/>
          <w:color w:val="222222"/>
          <w:lang w:val="en-US"/>
        </w:rPr>
        <w:t>computed tomography</w:t>
      </w:r>
    </w:p>
    <w:p w14:paraId="3DCD5089" w14:textId="77777777" w:rsidR="00B0275B" w:rsidRPr="003463E0" w:rsidRDefault="00B0275B" w:rsidP="00B0275B">
      <w:pPr>
        <w:spacing w:line="480" w:lineRule="auto"/>
        <w:jc w:val="both"/>
        <w:rPr>
          <w:b/>
        </w:rPr>
      </w:pPr>
      <w:r w:rsidRPr="003463E0">
        <w:rPr>
          <w:b/>
        </w:rPr>
        <w:t>Abstract</w:t>
      </w:r>
      <w:r w:rsidR="000A56F6" w:rsidRPr="003463E0">
        <w:rPr>
          <w:b/>
        </w:rPr>
        <w:t xml:space="preserve"> </w:t>
      </w:r>
    </w:p>
    <w:p w14:paraId="08977B6E" w14:textId="364F4940" w:rsidR="00B0275B" w:rsidRPr="00B0275B" w:rsidRDefault="00B0275B" w:rsidP="00805829">
      <w:pPr>
        <w:spacing w:line="480" w:lineRule="auto"/>
        <w:jc w:val="both"/>
      </w:pPr>
      <w:r w:rsidRPr="00B0275B">
        <w:t>Este estudo teve com objetivo analisar a prevalên</w:t>
      </w:r>
      <w:r w:rsidR="00805829">
        <w:t xml:space="preserve">cia do desvio do septo nasal </w:t>
      </w:r>
      <w:r w:rsidRPr="00B0275B">
        <w:t xml:space="preserve">e da presença de concha nasal média bolhosa </w:t>
      </w:r>
      <w:r w:rsidR="00805829">
        <w:t>e</w:t>
      </w:r>
      <w:r w:rsidRPr="00B0275B">
        <w:t xml:space="preserve"> estudar a possível relação entre </w:t>
      </w:r>
      <w:r w:rsidR="006A7A84">
        <w:t>estes por meio de</w:t>
      </w:r>
      <w:r w:rsidRPr="00B0275B">
        <w:t xml:space="preserve"> imagens por tomografia computadorizada de feixes cônicos (TCFC). </w:t>
      </w:r>
      <w:r>
        <w:t>F</w:t>
      </w:r>
      <w:r w:rsidRPr="00B0275B">
        <w:t xml:space="preserve">oram selecionados 118 exames de TCFC </w:t>
      </w:r>
      <w:r w:rsidR="006A7A84">
        <w:t>de</w:t>
      </w:r>
      <w:r w:rsidRPr="00B0275B">
        <w:t xml:space="preserve"> arquivo, previamente adq</w:t>
      </w:r>
      <w:r>
        <w:t>uiridos por indicações diversas</w:t>
      </w:r>
      <w:r w:rsidR="006A7A84">
        <w:t xml:space="preserve"> para odontologia</w:t>
      </w:r>
      <w:r w:rsidRPr="00B0275B">
        <w:t xml:space="preserve">. Todos os exames foram realizados em tomógrafo i-CAT Next </w:t>
      </w:r>
      <w:proofErr w:type="spellStart"/>
      <w:r w:rsidRPr="00B0275B">
        <w:t>Generation</w:t>
      </w:r>
      <w:proofErr w:type="spellEnd"/>
      <w:r w:rsidRPr="00B0275B">
        <w:t xml:space="preserve"> (</w:t>
      </w:r>
      <w:proofErr w:type="spellStart"/>
      <w:r w:rsidRPr="00B0275B">
        <w:t>imaging</w:t>
      </w:r>
      <w:proofErr w:type="spellEnd"/>
      <w:r w:rsidRPr="00B0275B">
        <w:t xml:space="preserve"> </w:t>
      </w:r>
      <w:proofErr w:type="spellStart"/>
      <w:r w:rsidRPr="00B0275B">
        <w:t>Sciences</w:t>
      </w:r>
      <w:proofErr w:type="spellEnd"/>
      <w:r w:rsidRPr="00B0275B">
        <w:t xml:space="preserve"> </w:t>
      </w:r>
      <w:proofErr w:type="spellStart"/>
      <w:r w:rsidRPr="00B0275B">
        <w:t>Intern</w:t>
      </w:r>
      <w:r w:rsidR="00A41D20">
        <w:t>ational</w:t>
      </w:r>
      <w:proofErr w:type="spellEnd"/>
      <w:r w:rsidR="00A41D20">
        <w:t xml:space="preserve">, </w:t>
      </w:r>
      <w:proofErr w:type="spellStart"/>
      <w:r w:rsidR="00A41D20">
        <w:t>Hatfield</w:t>
      </w:r>
      <w:proofErr w:type="spellEnd"/>
      <w:r w:rsidR="00A41D20">
        <w:t xml:space="preserve">, PA, EUA) com o mesmo protocolo, tendo o </w:t>
      </w:r>
      <w:r w:rsidRPr="00B0275B">
        <w:t xml:space="preserve">FOV (Field </w:t>
      </w:r>
      <w:proofErr w:type="spellStart"/>
      <w:r w:rsidRPr="00B0275B">
        <w:t>of</w:t>
      </w:r>
      <w:proofErr w:type="spellEnd"/>
      <w:r w:rsidRPr="00B0275B">
        <w:t xml:space="preserve"> </w:t>
      </w:r>
      <w:proofErr w:type="spellStart"/>
      <w:r w:rsidRPr="00B0275B">
        <w:t>View</w:t>
      </w:r>
      <w:proofErr w:type="spellEnd"/>
      <w:r w:rsidRPr="00B0275B">
        <w:t xml:space="preserve">) </w:t>
      </w:r>
      <w:r>
        <w:t xml:space="preserve">abrangendo </w:t>
      </w:r>
      <w:r w:rsidRPr="00B0275B">
        <w:t xml:space="preserve">o terço médio e inferior da face. Todas as imagens foram avaliadas no software </w:t>
      </w:r>
      <w:r w:rsidR="00A41D20">
        <w:t>especifico do sistema</w:t>
      </w:r>
      <w:r w:rsidRPr="00B0275B">
        <w:t xml:space="preserve"> </w:t>
      </w:r>
      <w:r w:rsidR="00A41D20">
        <w:t xml:space="preserve">por </w:t>
      </w:r>
      <w:r w:rsidRPr="00B0275B">
        <w:t>01 avaliador devidamente treinado</w:t>
      </w:r>
      <w:r>
        <w:t>.</w:t>
      </w:r>
      <w:r w:rsidRPr="00B0275B">
        <w:t xml:space="preserve"> </w:t>
      </w:r>
      <w:r>
        <w:t>O</w:t>
      </w:r>
      <w:r w:rsidRPr="00B0275B">
        <w:t xml:space="preserve"> desvio de septo nasal, </w:t>
      </w:r>
      <w:r>
        <w:t>a</w:t>
      </w:r>
      <w:r w:rsidRPr="00B0275B">
        <w:t xml:space="preserve"> concha nasal </w:t>
      </w:r>
      <w:r w:rsidR="001337FC">
        <w:t>média bolhosa</w:t>
      </w:r>
      <w:r>
        <w:t xml:space="preserve"> </w:t>
      </w:r>
      <w:r w:rsidR="001337FC">
        <w:t>e demais dados</w:t>
      </w:r>
      <w:r>
        <w:t xml:space="preserve"> </w:t>
      </w:r>
      <w:r w:rsidRPr="00B0275B">
        <w:t xml:space="preserve">foram tabulados e </w:t>
      </w:r>
      <w:r w:rsidR="001337FC">
        <w:t>realizada a análise descritiva dos mesmos.</w:t>
      </w:r>
      <w:r>
        <w:t xml:space="preserve"> </w:t>
      </w:r>
      <w:r w:rsidR="001337FC">
        <w:t xml:space="preserve">O </w:t>
      </w:r>
      <w:r w:rsidRPr="00B0275B">
        <w:t xml:space="preserve">teste de </w:t>
      </w:r>
      <w:proofErr w:type="spellStart"/>
      <w:r w:rsidRPr="00B0275B">
        <w:t>McNemar</w:t>
      </w:r>
      <w:proofErr w:type="spellEnd"/>
      <w:r w:rsidRPr="00B0275B">
        <w:t xml:space="preserve"> </w:t>
      </w:r>
      <w:r>
        <w:t xml:space="preserve">foi aplicado </w:t>
      </w:r>
      <w:r w:rsidRPr="00B0275B">
        <w:t>para se estudar a possível relação entre os mesmos.</w:t>
      </w:r>
      <w:r w:rsidRPr="00B0275B">
        <w:rPr>
          <w:sz w:val="28"/>
          <w:szCs w:val="28"/>
        </w:rPr>
        <w:t xml:space="preserve"> </w:t>
      </w:r>
      <w:r>
        <w:t>Os resultados indicaram que,</w:t>
      </w:r>
      <w:r w:rsidRPr="00B0275B">
        <w:t xml:space="preserve"> </w:t>
      </w:r>
      <w:r>
        <w:t xml:space="preserve">nos </w:t>
      </w:r>
      <w:r w:rsidRPr="00B0275B">
        <w:t xml:space="preserve">casos em que não </w:t>
      </w:r>
      <w:r>
        <w:t xml:space="preserve">ocorria </w:t>
      </w:r>
      <w:r w:rsidRPr="00B0275B">
        <w:t xml:space="preserve">o desvio de septo nasal, 73,5% destes não apresentaram </w:t>
      </w:r>
      <w:r w:rsidR="009B59FD">
        <w:t>e 26,5% destes</w:t>
      </w:r>
      <w:r w:rsidRPr="00B0275B">
        <w:t xml:space="preserve"> apresentaram a concha mé</w:t>
      </w:r>
      <w:r>
        <w:t>dia bolhosa. Considerando-se</w:t>
      </w:r>
      <w:r w:rsidRPr="00B0275B">
        <w:t xml:space="preserve"> apenas os casos que apresentaram o desvio d</w:t>
      </w:r>
      <w:r w:rsidR="009B59FD">
        <w:t xml:space="preserve">e septo nasal para um dos lados, </w:t>
      </w:r>
      <w:r w:rsidRPr="00B0275B">
        <w:t>a proporção que não apresentou a concha média bolhosa para o mesmo lado foi de 77,1% e a que apresentou também a concha média bolhosa para o mesmo lado foi de 22,9%. Concluiu-se que não houve relação (p=0,568) entre a presença das duas variáveis analisadas na pesquisa – desvio de septo nasal e presença de concha média bolhosa.</w:t>
      </w:r>
    </w:p>
    <w:p w14:paraId="1380D291" w14:textId="77777777" w:rsidR="00D14FE7" w:rsidRDefault="00D14FE7" w:rsidP="00B0275B">
      <w:pPr>
        <w:spacing w:line="480" w:lineRule="auto"/>
        <w:jc w:val="both"/>
      </w:pPr>
    </w:p>
    <w:p w14:paraId="2ACA9AB1" w14:textId="774BE6D3" w:rsidR="008A5B27" w:rsidRPr="008A5B27" w:rsidRDefault="00805829" w:rsidP="008A5B27">
      <w:pPr>
        <w:jc w:val="both"/>
      </w:pPr>
      <w:proofErr w:type="spellStart"/>
      <w:r w:rsidRPr="003463E0">
        <w:rPr>
          <w:b/>
        </w:rPr>
        <w:t>Keywords</w:t>
      </w:r>
      <w:proofErr w:type="spellEnd"/>
      <w:r w:rsidRPr="003463E0">
        <w:rPr>
          <w:b/>
        </w:rPr>
        <w:t>:</w:t>
      </w:r>
      <w:r w:rsidRPr="008A5B27">
        <w:t xml:space="preserve"> </w:t>
      </w:r>
      <w:r w:rsidR="008A5B27" w:rsidRPr="008A5B27">
        <w:rPr>
          <w:bCs/>
        </w:rPr>
        <w:t>Cavidade nasal</w:t>
      </w:r>
      <w:r w:rsidR="008A5B27">
        <w:rPr>
          <w:bCs/>
        </w:rPr>
        <w:t>;</w:t>
      </w:r>
      <w:r w:rsidR="008A5B27" w:rsidRPr="008A5B27">
        <w:t xml:space="preserve"> </w:t>
      </w:r>
      <w:r w:rsidR="008A5B27">
        <w:rPr>
          <w:bCs/>
        </w:rPr>
        <w:t>Septo n</w:t>
      </w:r>
      <w:r w:rsidR="008A5B27" w:rsidRPr="008A5B27">
        <w:rPr>
          <w:bCs/>
        </w:rPr>
        <w:t>asal</w:t>
      </w:r>
      <w:r w:rsidR="008A5B27">
        <w:rPr>
          <w:bCs/>
        </w:rPr>
        <w:t>;</w:t>
      </w:r>
      <w:r w:rsidR="008A5B27" w:rsidRPr="008A5B27">
        <w:t xml:space="preserve"> Tomografia C</w:t>
      </w:r>
      <w:r w:rsidR="008A5B27">
        <w:t>omputadorizada de Feixe Cônico.</w:t>
      </w:r>
    </w:p>
    <w:p w14:paraId="76F24945" w14:textId="77777777" w:rsidR="0077586C" w:rsidRDefault="0077586C" w:rsidP="00B0275B">
      <w:pPr>
        <w:spacing w:line="480" w:lineRule="auto"/>
        <w:jc w:val="both"/>
        <w:sectPr w:rsidR="0077586C" w:rsidSect="00824032">
          <w:headerReference w:type="even" r:id="rId8"/>
          <w:pgSz w:w="11900" w:h="16840"/>
          <w:pgMar w:top="1134" w:right="1134" w:bottom="1134" w:left="1134" w:header="708" w:footer="708" w:gutter="0"/>
          <w:cols w:space="708"/>
          <w:docGrid w:linePitch="360"/>
        </w:sectPr>
      </w:pPr>
    </w:p>
    <w:p w14:paraId="10C51382" w14:textId="790664AF" w:rsidR="00815781" w:rsidRPr="003463E0" w:rsidRDefault="0013053A" w:rsidP="005F48B5">
      <w:pPr>
        <w:spacing w:line="480" w:lineRule="auto"/>
        <w:jc w:val="both"/>
        <w:rPr>
          <w:b/>
        </w:rPr>
      </w:pPr>
      <w:proofErr w:type="spellStart"/>
      <w:r>
        <w:lastRenderedPageBreak/>
        <w:t>I</w:t>
      </w:r>
      <w:r w:rsidR="00815781" w:rsidRPr="003463E0">
        <w:rPr>
          <w:b/>
        </w:rPr>
        <w:t>ntroduction</w:t>
      </w:r>
      <w:proofErr w:type="spellEnd"/>
    </w:p>
    <w:p w14:paraId="0646FEA9" w14:textId="55A3991A" w:rsidR="005F48B5" w:rsidRPr="005F48B5" w:rsidRDefault="005F48B5" w:rsidP="005F48B5">
      <w:pPr>
        <w:widowControl w:val="0"/>
        <w:autoSpaceDE w:val="0"/>
        <w:autoSpaceDN w:val="0"/>
        <w:adjustRightInd w:val="0"/>
        <w:spacing w:line="480" w:lineRule="auto"/>
        <w:ind w:firstLine="708"/>
        <w:jc w:val="both"/>
        <w:rPr>
          <w:color w:val="231F20"/>
        </w:rPr>
      </w:pPr>
      <w:r w:rsidRPr="005F48B5">
        <w:rPr>
          <w:color w:val="231F20"/>
        </w:rPr>
        <w:t xml:space="preserve">A avaliação dos seios paranasais e das fossas nasais destaca-se dentre as diversas indicações atuais dos exames de tomografia computadorizada. Esta modalidade de imagens constitui a de escolha no que tange o estudo destas estruturas, identificando-as de forma precisa e com elevados detalhes anatômicos. Algumas variações anatômicas podem predispor a </w:t>
      </w:r>
      <w:proofErr w:type="spellStart"/>
      <w:r w:rsidRPr="005F48B5">
        <w:rPr>
          <w:color w:val="231F20"/>
        </w:rPr>
        <w:t>sinusopatias</w:t>
      </w:r>
      <w:proofErr w:type="spellEnd"/>
      <w:r w:rsidRPr="005F48B5">
        <w:rPr>
          <w:color w:val="231F20"/>
        </w:rPr>
        <w:t xml:space="preserve"> e constituir regiões de alto risco para lesões e complicações durante atos operatórios [1].</w:t>
      </w:r>
    </w:p>
    <w:p w14:paraId="735CF8C1" w14:textId="1C190504" w:rsidR="005F48B5" w:rsidRPr="005F48B5" w:rsidRDefault="005F48B5" w:rsidP="005F48B5">
      <w:pPr>
        <w:spacing w:line="480" w:lineRule="auto"/>
        <w:ind w:firstLine="708"/>
        <w:jc w:val="both"/>
      </w:pPr>
      <w:r w:rsidRPr="005F48B5">
        <w:t>A tomografia computadorizada de feixe cônico (TCFC) é um método que foi primeiramente introduzido na Itália em 1997</w:t>
      </w:r>
      <w:r w:rsidRPr="005F48B5">
        <w:rPr>
          <w:vertAlign w:val="superscript"/>
        </w:rPr>
        <w:t xml:space="preserve"> </w:t>
      </w:r>
      <w:r w:rsidRPr="005F48B5">
        <w:t xml:space="preserve">[1], sendo usado de forma comercial desde 2001 nos EUA [2]. </w:t>
      </w:r>
      <w:r w:rsidR="00485040">
        <w:t>Dentre s</w:t>
      </w:r>
      <w:r w:rsidRPr="005F48B5">
        <w:t xml:space="preserve">uas vantagens, </w:t>
      </w:r>
      <w:r w:rsidR="000360B9">
        <w:t>cita-se</w:t>
      </w:r>
      <w:r w:rsidRPr="005F48B5">
        <w:t xml:space="preserve"> uma menor dose de radiação comparada à tomografia computadorizada de fei</w:t>
      </w:r>
      <w:r w:rsidR="00485040">
        <w:t xml:space="preserve">xe em leque </w:t>
      </w:r>
      <w:r w:rsidR="000055B4">
        <w:t xml:space="preserve">ou </w:t>
      </w:r>
      <w:proofErr w:type="spellStart"/>
      <w:r w:rsidR="000055B4">
        <w:t>fan</w:t>
      </w:r>
      <w:proofErr w:type="spellEnd"/>
      <w:r w:rsidR="000055B4">
        <w:t xml:space="preserve"> </w:t>
      </w:r>
      <w:proofErr w:type="spellStart"/>
      <w:r w:rsidR="000055B4">
        <w:t>beam</w:t>
      </w:r>
      <w:proofErr w:type="spellEnd"/>
      <w:r w:rsidR="000055B4">
        <w:t xml:space="preserve"> </w:t>
      </w:r>
      <w:r w:rsidR="00485040">
        <w:t xml:space="preserve">(TCFL), e </w:t>
      </w:r>
      <w:r w:rsidR="000055B4">
        <w:t xml:space="preserve">seu </w:t>
      </w:r>
      <w:r w:rsidRPr="005F48B5">
        <w:t>alto grau de resolu</w:t>
      </w:r>
      <w:r w:rsidR="00485040">
        <w:t>ção espacial de tecidos ósseos</w:t>
      </w:r>
      <w:r w:rsidR="008646FE">
        <w:t>,</w:t>
      </w:r>
      <w:r w:rsidR="00485040">
        <w:t xml:space="preserve"> o que</w:t>
      </w:r>
      <w:r w:rsidRPr="005F48B5">
        <w:t xml:space="preserve"> </w:t>
      </w:r>
      <w:r w:rsidR="008646FE">
        <w:t xml:space="preserve">a tornaram </w:t>
      </w:r>
      <w:r w:rsidRPr="005F48B5">
        <w:t xml:space="preserve">um método amplamente usado </w:t>
      </w:r>
      <w:r w:rsidR="00485040">
        <w:t xml:space="preserve"> na pratica odontológica, </w:t>
      </w:r>
      <w:r w:rsidR="008646FE">
        <w:t xml:space="preserve">porém </w:t>
      </w:r>
      <w:r w:rsidR="00485040">
        <w:t xml:space="preserve">ainda sem muito conhecimento pelos profissionais envolvidos no estudo da otorrinolaringologia </w:t>
      </w:r>
      <w:r w:rsidRPr="005F48B5">
        <w:t>[2, 3,4].</w:t>
      </w:r>
    </w:p>
    <w:p w14:paraId="5183D9E6" w14:textId="54947B77" w:rsidR="005F48B5" w:rsidRPr="005F48B5" w:rsidRDefault="005F48B5" w:rsidP="00485040">
      <w:pPr>
        <w:spacing w:line="480" w:lineRule="auto"/>
        <w:ind w:firstLine="720"/>
        <w:jc w:val="both"/>
      </w:pPr>
      <w:r w:rsidRPr="005F48B5">
        <w:t xml:space="preserve"> </w:t>
      </w:r>
      <w:r w:rsidR="00D354D4">
        <w:t xml:space="preserve">A prevalência do desvio do septo nasal </w:t>
      </w:r>
      <w:r w:rsidRPr="005F48B5">
        <w:t xml:space="preserve">varia de acordo com os grupos etários </w:t>
      </w:r>
      <w:r w:rsidR="00485040">
        <w:t>Sendo a</w:t>
      </w:r>
      <w:r w:rsidRPr="005F48B5">
        <w:rPr>
          <w:shd w:val="clear" w:color="auto" w:fill="FFFFFF"/>
        </w:rPr>
        <w:t xml:space="preserve"> deformidade septal é uma das causas </w:t>
      </w:r>
      <w:r w:rsidRPr="005F48B5">
        <w:t xml:space="preserve">principais de obstrução nasal e dificuldade alimentar na infância, além de poder causar bloqueio dos ductos </w:t>
      </w:r>
      <w:proofErr w:type="spellStart"/>
      <w:r w:rsidRPr="005F48B5">
        <w:t>nasolacrimais</w:t>
      </w:r>
      <w:proofErr w:type="spellEnd"/>
      <w:r w:rsidRPr="005F48B5">
        <w:t xml:space="preserve">, episódios de </w:t>
      </w:r>
      <w:proofErr w:type="spellStart"/>
      <w:r w:rsidRPr="005F48B5">
        <w:t>rinossinusites</w:t>
      </w:r>
      <w:proofErr w:type="spellEnd"/>
      <w:r w:rsidRPr="005F48B5">
        <w:t>, otites médias de repetição e as graves</w:t>
      </w:r>
      <w:r w:rsidR="00FF7816">
        <w:t xml:space="preserve"> sequelas do respirador bucal [</w:t>
      </w:r>
      <w:r w:rsidR="00D354D4">
        <w:t xml:space="preserve">5, </w:t>
      </w:r>
      <w:r w:rsidR="00FF7816">
        <w:t>6</w:t>
      </w:r>
      <w:r w:rsidRPr="005F48B5">
        <w:t>].</w:t>
      </w:r>
    </w:p>
    <w:p w14:paraId="4A4B1D1A" w14:textId="24C94EA2" w:rsidR="005F48B5" w:rsidRPr="005F48B5" w:rsidRDefault="005F48B5" w:rsidP="005F48B5">
      <w:pPr>
        <w:spacing w:line="480" w:lineRule="auto"/>
        <w:ind w:firstLine="720"/>
        <w:jc w:val="both"/>
      </w:pPr>
      <w:r w:rsidRPr="005F48B5">
        <w:t>A literatura recente define como concha média bolhosa a presença de</w:t>
      </w:r>
      <w:r w:rsidR="00485040">
        <w:t xml:space="preserve"> qualquer grau de </w:t>
      </w:r>
      <w:proofErr w:type="spellStart"/>
      <w:r w:rsidR="00485040">
        <w:t>pneumatização</w:t>
      </w:r>
      <w:proofErr w:type="spellEnd"/>
      <w:r w:rsidR="00485040">
        <w:t xml:space="preserve"> da mesma</w:t>
      </w:r>
      <w:r w:rsidRPr="005F48B5">
        <w:t xml:space="preserve">. O diagnóstico da concha média bolhosa é mais bem realizado </w:t>
      </w:r>
      <w:r w:rsidR="00485040">
        <w:t xml:space="preserve">por meio de exames </w:t>
      </w:r>
      <w:r w:rsidR="00FA40F4">
        <w:t>de</w:t>
      </w:r>
      <w:r w:rsidRPr="005F48B5">
        <w:t xml:space="preserve"> tomografia computadorizada</w:t>
      </w:r>
      <w:r w:rsidR="00485040">
        <w:t>. A importância</w:t>
      </w:r>
      <w:r w:rsidR="00FA40F4">
        <w:t xml:space="preserve"> de seu diagnó</w:t>
      </w:r>
      <w:r w:rsidR="00485040">
        <w:t>stico reside no fato de que poderia</w:t>
      </w:r>
      <w:r w:rsidR="00FA40F4">
        <w:t>,</w:t>
      </w:r>
      <w:r w:rsidR="00553802">
        <w:t xml:space="preserve"> </w:t>
      </w:r>
      <w:r w:rsidR="00485040">
        <w:t xml:space="preserve">hipoteticamente, ocasionar </w:t>
      </w:r>
      <w:r w:rsidR="00FA40F4">
        <w:t>o aumento de</w:t>
      </w:r>
      <w:r w:rsidR="00ED7CB7">
        <w:t xml:space="preserve"> volume d</w:t>
      </w:r>
      <w:r w:rsidR="00485040">
        <w:t>a concha nasal correspondente, podendo desta forma ocasionar um desvio do septo nasal para o lado contralateral de sua ocorrência, levando então a</w:t>
      </w:r>
      <w:r w:rsidR="00FA40F4">
        <w:t>os</w:t>
      </w:r>
      <w:r w:rsidR="00FF7816">
        <w:t xml:space="preserve"> problemas consequentes deste [7</w:t>
      </w:r>
      <w:r w:rsidR="00485040">
        <w:t xml:space="preserve">]. </w:t>
      </w:r>
    </w:p>
    <w:p w14:paraId="3AF71978" w14:textId="0937EBD6" w:rsidR="00485040" w:rsidRDefault="005F48B5" w:rsidP="005F48B5">
      <w:pPr>
        <w:spacing w:line="480" w:lineRule="auto"/>
        <w:jc w:val="both"/>
      </w:pPr>
      <w:r w:rsidRPr="005F48B5">
        <w:tab/>
      </w:r>
      <w:r w:rsidR="00485040">
        <w:t xml:space="preserve">A literatura que relaciona </w:t>
      </w:r>
      <w:r w:rsidR="00FA40F4">
        <w:t xml:space="preserve">o </w:t>
      </w:r>
      <w:r w:rsidR="00485040">
        <w:t>desvio do septo nasal e a presença de concha média bolhosa é escassa, além disso os poucos estudos com este propósit</w:t>
      </w:r>
      <w:r w:rsidR="00FA40F4">
        <w:t>o</w:t>
      </w:r>
      <w:r w:rsidR="00485040">
        <w:t xml:space="preserve"> já realizado</w:t>
      </w:r>
      <w:r w:rsidR="00FA40F4">
        <w:t>s foram realizados em imagens de TCFL e não em TCFC.</w:t>
      </w:r>
    </w:p>
    <w:p w14:paraId="5A6DF8BB" w14:textId="25256F15" w:rsidR="005F48B5" w:rsidRPr="005F48B5" w:rsidRDefault="00CC09ED" w:rsidP="00FA40F4">
      <w:pPr>
        <w:spacing w:line="480" w:lineRule="auto"/>
        <w:ind w:firstLine="720"/>
        <w:jc w:val="both"/>
      </w:pPr>
      <w:r>
        <w:t>O</w:t>
      </w:r>
      <w:r w:rsidR="00FA40F4">
        <w:t xml:space="preserve"> presente estudo teve como objetivo utilizar as imagens de tomografia computadorizada de feixe cônico (TCFC) para identificar a presença do desvio de septo </w:t>
      </w:r>
      <w:r>
        <w:t>nasal e concha média bolhosa, estudar</w:t>
      </w:r>
      <w:r w:rsidR="00FA40F4">
        <w:t xml:space="preserve"> sua</w:t>
      </w:r>
      <w:r>
        <w:t>s</w:t>
      </w:r>
      <w:r w:rsidR="00FA40F4">
        <w:t xml:space="preserve"> prevalência</w:t>
      </w:r>
      <w:r>
        <w:t>s</w:t>
      </w:r>
      <w:r w:rsidR="00FA40F4">
        <w:t xml:space="preserve"> e a possível relação entre ambos.</w:t>
      </w:r>
    </w:p>
    <w:p w14:paraId="7EB2369B" w14:textId="2CE99456" w:rsidR="0073050A" w:rsidRPr="003463E0" w:rsidRDefault="0073050A" w:rsidP="00B0275B">
      <w:pPr>
        <w:spacing w:line="480" w:lineRule="auto"/>
        <w:jc w:val="both"/>
        <w:rPr>
          <w:b/>
        </w:rPr>
      </w:pPr>
      <w:r w:rsidRPr="003463E0">
        <w:rPr>
          <w:b/>
        </w:rPr>
        <w:t xml:space="preserve">Material e </w:t>
      </w:r>
      <w:proofErr w:type="spellStart"/>
      <w:r w:rsidRPr="003463E0">
        <w:rPr>
          <w:b/>
        </w:rPr>
        <w:t>Methods</w:t>
      </w:r>
      <w:proofErr w:type="spellEnd"/>
    </w:p>
    <w:p w14:paraId="2E818294" w14:textId="274FE8E6" w:rsidR="00674AB2" w:rsidRDefault="000F21B1" w:rsidP="00674AB2">
      <w:pPr>
        <w:spacing w:line="480" w:lineRule="auto"/>
        <w:ind w:firstLine="720"/>
        <w:jc w:val="both"/>
      </w:pPr>
      <w:r w:rsidRPr="000F21B1">
        <w:t>Este estudo teve início após sua devida aprovação p</w:t>
      </w:r>
      <w:r w:rsidR="00674AB2">
        <w:t>elo</w:t>
      </w:r>
      <w:r w:rsidR="00EB51EE">
        <w:t xml:space="preserve"> Comitê de Ética em pesquisa (nú</w:t>
      </w:r>
      <w:r w:rsidR="00674AB2">
        <w:t xml:space="preserve">mero </w:t>
      </w:r>
      <w:r w:rsidR="00674AB2" w:rsidRPr="00674AB2">
        <w:rPr>
          <w:rFonts w:cs="Times New Roman"/>
          <w:lang w:val="en-US"/>
        </w:rPr>
        <w:t>754.631</w:t>
      </w:r>
      <w:r w:rsidR="00674AB2">
        <w:rPr>
          <w:rFonts w:cs="Times New Roman"/>
          <w:lang w:val="en-US"/>
        </w:rPr>
        <w:t xml:space="preserve"> de 15/08/2014).</w:t>
      </w:r>
      <w:r w:rsidR="00674AB2">
        <w:rPr>
          <w:rFonts w:ascii="Times New Roman" w:hAnsi="Times New Roman" w:cs="Times New Roman"/>
          <w:sz w:val="20"/>
          <w:szCs w:val="20"/>
          <w:lang w:val="en-US"/>
        </w:rPr>
        <w:t xml:space="preserve"> </w:t>
      </w:r>
    </w:p>
    <w:p w14:paraId="1F4F432D" w14:textId="41277603" w:rsidR="000F21B1" w:rsidRPr="000F21B1" w:rsidRDefault="00674AB2" w:rsidP="0050747C">
      <w:pPr>
        <w:spacing w:line="480" w:lineRule="auto"/>
        <w:ind w:firstLine="720"/>
        <w:jc w:val="both"/>
      </w:pPr>
      <w:r>
        <w:t>Foram avaliados</w:t>
      </w:r>
      <w:r w:rsidR="000F21B1" w:rsidRPr="000F21B1">
        <w:t xml:space="preserve"> 118 exames de TCFC pertencentes ao arquivo </w:t>
      </w:r>
      <w:r w:rsidR="000F21B1">
        <w:t>da clínica de Radiologia da Universidade Estadual Paulista Júlio</w:t>
      </w:r>
      <w:r w:rsidR="00F42509">
        <w:t xml:space="preserve"> de Mesquita Filho – ICT UNESP, todos </w:t>
      </w:r>
      <w:r w:rsidR="000F21B1" w:rsidRPr="000F21B1">
        <w:t xml:space="preserve">adquiridos no tomógrafo i-CAT Next </w:t>
      </w:r>
      <w:proofErr w:type="spellStart"/>
      <w:r w:rsidR="000F21B1" w:rsidRPr="000F21B1">
        <w:t>Generation</w:t>
      </w:r>
      <w:proofErr w:type="spellEnd"/>
      <w:r w:rsidR="000F21B1" w:rsidRPr="000F21B1">
        <w:t xml:space="preserve"> (</w:t>
      </w:r>
      <w:proofErr w:type="spellStart"/>
      <w:r w:rsidR="000F21B1" w:rsidRPr="000F21B1">
        <w:t>Imaging</w:t>
      </w:r>
      <w:proofErr w:type="spellEnd"/>
      <w:r w:rsidR="000F21B1" w:rsidRPr="000F21B1">
        <w:t xml:space="preserve"> </w:t>
      </w:r>
      <w:proofErr w:type="spellStart"/>
      <w:r w:rsidR="000F21B1" w:rsidRPr="000F21B1">
        <w:t>Sciences</w:t>
      </w:r>
      <w:proofErr w:type="spellEnd"/>
      <w:r w:rsidR="000F21B1" w:rsidRPr="000F21B1">
        <w:t xml:space="preserve"> </w:t>
      </w:r>
      <w:proofErr w:type="spellStart"/>
      <w:r w:rsidR="000F21B1" w:rsidRPr="000F21B1">
        <w:t>International</w:t>
      </w:r>
      <w:proofErr w:type="spellEnd"/>
      <w:r w:rsidR="000F21B1" w:rsidRPr="000F21B1">
        <w:t xml:space="preserve">, </w:t>
      </w:r>
      <w:proofErr w:type="spellStart"/>
      <w:r w:rsidR="000F21B1" w:rsidRPr="000F21B1">
        <w:t>Hatfield</w:t>
      </w:r>
      <w:proofErr w:type="spellEnd"/>
      <w:r w:rsidR="000F21B1" w:rsidRPr="000F21B1">
        <w:t>, PA, EUA) com indicações diversas como planejamento de im</w:t>
      </w:r>
      <w:r w:rsidR="00F42509">
        <w:t>plantes e estudo para ortodontia</w:t>
      </w:r>
      <w:r w:rsidR="000F21B1" w:rsidRPr="000F21B1">
        <w:t xml:space="preserve">. Os exames incluídos na amostra, além de atenderem a este requisito, abrangiam as cavidades nasais em sua totalidade, </w:t>
      </w:r>
      <w:r w:rsidR="00F42509">
        <w:t>sendo</w:t>
      </w:r>
      <w:r w:rsidR="000F21B1" w:rsidRPr="000F21B1">
        <w:t xml:space="preserve"> </w:t>
      </w:r>
      <w:r w:rsidR="00F42509">
        <w:t>adquiridos</w:t>
      </w:r>
      <w:r w:rsidR="000F21B1" w:rsidRPr="000F21B1">
        <w:t xml:space="preserve"> com FOV (Field </w:t>
      </w:r>
      <w:proofErr w:type="spellStart"/>
      <w:r w:rsidR="000F21B1" w:rsidRPr="000F21B1">
        <w:t>of</w:t>
      </w:r>
      <w:proofErr w:type="spellEnd"/>
      <w:r w:rsidR="000F21B1" w:rsidRPr="000F21B1">
        <w:t xml:space="preserve"> </w:t>
      </w:r>
      <w:proofErr w:type="spellStart"/>
      <w:r w:rsidR="000F21B1" w:rsidRPr="000F21B1">
        <w:t>View</w:t>
      </w:r>
      <w:proofErr w:type="spellEnd"/>
      <w:r w:rsidR="000F21B1" w:rsidRPr="000F21B1">
        <w:t>) de 16</w:t>
      </w:r>
      <w:r>
        <w:t xml:space="preserve">.0 </w:t>
      </w:r>
      <w:r w:rsidR="000F21B1" w:rsidRPr="000F21B1">
        <w:t>x</w:t>
      </w:r>
      <w:r>
        <w:t xml:space="preserve"> </w:t>
      </w:r>
      <w:r w:rsidR="000F21B1" w:rsidRPr="000F21B1">
        <w:t>13</w:t>
      </w:r>
      <w:r>
        <w:t xml:space="preserve">.0 </w:t>
      </w:r>
      <w:r w:rsidR="000F21B1" w:rsidRPr="000F21B1">
        <w:t>cm</w:t>
      </w:r>
      <w:r>
        <w:t xml:space="preserve"> e </w:t>
      </w:r>
      <w:proofErr w:type="spellStart"/>
      <w:r>
        <w:t>voxel</w:t>
      </w:r>
      <w:proofErr w:type="spellEnd"/>
      <w:r>
        <w:t xml:space="preserve"> de 0.25 </w:t>
      </w:r>
      <w:proofErr w:type="spellStart"/>
      <w:r>
        <w:t>mm</w:t>
      </w:r>
      <w:r w:rsidR="000F21B1" w:rsidRPr="000F21B1">
        <w:t>.</w:t>
      </w:r>
      <w:proofErr w:type="spellEnd"/>
      <w:r w:rsidR="000F21B1" w:rsidRPr="000F21B1">
        <w:t xml:space="preserve"> </w:t>
      </w:r>
      <w:r>
        <w:t xml:space="preserve"> </w:t>
      </w:r>
      <w:r w:rsidR="00F42509">
        <w:t xml:space="preserve">As imagens </w:t>
      </w:r>
      <w:r w:rsidR="000F21B1" w:rsidRPr="000F21B1">
        <w:t>eram pertencentes a pacientes de idades entre 1</w:t>
      </w:r>
      <w:r w:rsidR="00F42509">
        <w:t xml:space="preserve">0 e 80 anos, de ambos os sexos, sendo </w:t>
      </w:r>
      <w:r w:rsidR="000F21B1" w:rsidRPr="000F21B1">
        <w:t xml:space="preserve">desprezados aqueles exames em que as fossas </w:t>
      </w:r>
      <w:r w:rsidR="00F42509" w:rsidRPr="000F21B1">
        <w:t>nasais</w:t>
      </w:r>
      <w:r w:rsidR="00F42509">
        <w:t xml:space="preserve"> </w:t>
      </w:r>
      <w:r>
        <w:t xml:space="preserve">(terços inferior e médio) </w:t>
      </w:r>
      <w:r w:rsidR="000F21B1" w:rsidRPr="000F21B1">
        <w:t>não fo</w:t>
      </w:r>
      <w:r>
        <w:t>ssem</w:t>
      </w:r>
      <w:r w:rsidR="000F21B1" w:rsidRPr="000F21B1">
        <w:t xml:space="preserve"> visualizadas.</w:t>
      </w:r>
    </w:p>
    <w:p w14:paraId="6A6D3B8E" w14:textId="2FB52BFF" w:rsidR="000F21B1" w:rsidRPr="000F21B1" w:rsidRDefault="000F21B1" w:rsidP="0013053A">
      <w:pPr>
        <w:widowControl w:val="0"/>
        <w:autoSpaceDE w:val="0"/>
        <w:autoSpaceDN w:val="0"/>
        <w:adjustRightInd w:val="0"/>
        <w:spacing w:line="480" w:lineRule="auto"/>
        <w:jc w:val="both"/>
      </w:pPr>
      <w:r w:rsidRPr="000F21B1">
        <w:rPr>
          <w:i/>
        </w:rPr>
        <w:t xml:space="preserve">          </w:t>
      </w:r>
      <w:r w:rsidRPr="00674AB2">
        <w:t>Análise das Imagens -</w:t>
      </w:r>
      <w:r w:rsidRPr="000F21B1">
        <w:t xml:space="preserve"> Todos os exames foram avaliados no formato original de </w:t>
      </w:r>
      <w:r w:rsidRPr="00A94A26">
        <w:t>aquis</w:t>
      </w:r>
      <w:r w:rsidR="00A94A26">
        <w:t xml:space="preserve">ição das imagens, </w:t>
      </w:r>
      <w:r w:rsidRPr="00A94A26">
        <w:t>em m</w:t>
      </w:r>
      <w:r w:rsidR="00EB51EE">
        <w:t xml:space="preserve">onitor LCD de 19 </w:t>
      </w:r>
      <w:r w:rsidR="0013053A">
        <w:t xml:space="preserve">polegadas, </w:t>
      </w:r>
      <w:r w:rsidRPr="00A94A26">
        <w:t>no software XORAM (</w:t>
      </w:r>
      <w:proofErr w:type="spellStart"/>
      <w:r w:rsidR="00A94A26">
        <w:rPr>
          <w:color w:val="1A1A1A"/>
          <w:lang w:val="en-US"/>
        </w:rPr>
        <w:t>Xoran</w:t>
      </w:r>
      <w:proofErr w:type="spellEnd"/>
      <w:r w:rsidR="00A94A26">
        <w:rPr>
          <w:color w:val="1A1A1A"/>
          <w:lang w:val="en-US"/>
        </w:rPr>
        <w:t xml:space="preserve"> Technologies </w:t>
      </w:r>
      <w:r w:rsidR="00A94A26" w:rsidRPr="00A94A26">
        <w:rPr>
          <w:color w:val="1A1A1A"/>
          <w:lang w:val="en-US"/>
        </w:rPr>
        <w:t>LLC, Ann Arbor, MI, EUA)</w:t>
      </w:r>
      <w:r w:rsidR="00615619">
        <w:t>.</w:t>
      </w:r>
      <w:r w:rsidR="0013053A">
        <w:t xml:space="preserve"> </w:t>
      </w:r>
      <w:r w:rsidR="00776526">
        <w:t>Suas avaliações foram feitas</w:t>
      </w:r>
      <w:r w:rsidRPr="000F21B1">
        <w:t xml:space="preserve"> na janela de cortes em MPR (reconstrução </w:t>
      </w:r>
      <w:proofErr w:type="spellStart"/>
      <w:r w:rsidRPr="000F21B1">
        <w:t>multiplanares</w:t>
      </w:r>
      <w:proofErr w:type="spellEnd"/>
      <w:r w:rsidRPr="000F21B1">
        <w:t>)</w:t>
      </w:r>
      <w:r w:rsidR="00A94A26">
        <w:t xml:space="preserve"> do software,</w:t>
      </w:r>
      <w:r w:rsidRPr="000F21B1">
        <w:t xml:space="preserve"> de acordo com o seguinte protocolo:</w:t>
      </w:r>
    </w:p>
    <w:p w14:paraId="35E0B149" w14:textId="77777777" w:rsidR="00674AB2" w:rsidRDefault="000F21B1" w:rsidP="00674AB2">
      <w:pPr>
        <w:pStyle w:val="ListParagraph"/>
        <w:numPr>
          <w:ilvl w:val="0"/>
          <w:numId w:val="1"/>
        </w:numPr>
        <w:suppressAutoHyphens/>
        <w:spacing w:line="480" w:lineRule="auto"/>
        <w:contextualSpacing w:val="0"/>
        <w:jc w:val="both"/>
        <w:rPr>
          <w:rFonts w:ascii="Arial" w:hAnsi="Arial" w:cs="Arial"/>
          <w:sz w:val="24"/>
          <w:szCs w:val="24"/>
        </w:rPr>
      </w:pPr>
      <w:r w:rsidRPr="000F21B1">
        <w:rPr>
          <w:rFonts w:ascii="Arial" w:hAnsi="Arial" w:cs="Arial"/>
          <w:sz w:val="24"/>
          <w:szCs w:val="24"/>
        </w:rPr>
        <w:t xml:space="preserve">Avaliação do desvio de septo nasal: </w:t>
      </w:r>
    </w:p>
    <w:p w14:paraId="5440BAE1" w14:textId="4E141FF2" w:rsidR="000F21B1" w:rsidRPr="000F21B1" w:rsidRDefault="000F21B1" w:rsidP="009A5480">
      <w:pPr>
        <w:suppressAutoHyphens/>
        <w:spacing w:line="480" w:lineRule="auto"/>
        <w:ind w:firstLine="708"/>
        <w:jc w:val="both"/>
      </w:pPr>
      <w:r w:rsidRPr="000F21B1">
        <w:t>Primeiramente</w:t>
      </w:r>
      <w:r w:rsidR="003D3EF5">
        <w:t>,</w:t>
      </w:r>
      <w:r w:rsidRPr="000F21B1">
        <w:t xml:space="preserve"> foi realizado o acerto do plano </w:t>
      </w:r>
      <w:r w:rsidR="003D3EF5">
        <w:t>sagital da</w:t>
      </w:r>
      <w:r w:rsidRPr="000F21B1">
        <w:t xml:space="preserve"> imagem, segundo sua simetria, levando-se em conta, </w:t>
      </w:r>
      <w:r w:rsidR="000651AD">
        <w:t>o corte</w:t>
      </w:r>
      <w:r w:rsidRPr="000F21B1">
        <w:t xml:space="preserve"> axial. A linha mediana orientadora do corte sagital foi posicionada no plano sagital mediano do corte axial e, quando necessário, a imagem axial era </w:t>
      </w:r>
      <w:proofErr w:type="spellStart"/>
      <w:r w:rsidRPr="000F21B1">
        <w:t>rotacionada</w:t>
      </w:r>
      <w:proofErr w:type="spellEnd"/>
      <w:r w:rsidR="001B1E8A">
        <w:t>,</w:t>
      </w:r>
      <w:r w:rsidRPr="000F21B1">
        <w:t xml:space="preserve"> para que houvesse a coincidência entre o plano sagital do paciente e a linha orientadora de referência (Figura 1</w:t>
      </w:r>
      <w:r w:rsidR="009A5480">
        <w:t>A</w:t>
      </w:r>
      <w:r w:rsidRPr="000F21B1">
        <w:t>).</w:t>
      </w:r>
      <w:r w:rsidR="009A5480">
        <w:t xml:space="preserve"> </w:t>
      </w:r>
      <w:r w:rsidRPr="000F21B1">
        <w:t>Após</w:t>
      </w:r>
      <w:r w:rsidR="003D3EF5">
        <w:t xml:space="preserve"> realizado o acerto do plano </w:t>
      </w:r>
      <w:r w:rsidRPr="000F21B1">
        <w:t>sagital, era então avaliada a presença ou não de desvio de septo nasal nos cortes axiais, bem como o lado</w:t>
      </w:r>
      <w:r w:rsidR="003D3EF5">
        <w:t xml:space="preserve"> para o qual este se apresenta </w:t>
      </w:r>
      <w:r w:rsidR="009A5480">
        <w:t>(Figura 1B</w:t>
      </w:r>
      <w:r w:rsidRPr="000F21B1">
        <w:t>).</w:t>
      </w:r>
    </w:p>
    <w:p w14:paraId="019646D9" w14:textId="77777777" w:rsidR="001B1E8A" w:rsidRDefault="000F21B1" w:rsidP="001B1E8A">
      <w:pPr>
        <w:pStyle w:val="ListParagraph"/>
        <w:numPr>
          <w:ilvl w:val="0"/>
          <w:numId w:val="1"/>
        </w:numPr>
        <w:suppressAutoHyphens/>
        <w:spacing w:line="360" w:lineRule="auto"/>
        <w:jc w:val="both"/>
        <w:rPr>
          <w:rFonts w:ascii="Arial" w:hAnsi="Arial" w:cs="Arial"/>
          <w:sz w:val="24"/>
          <w:szCs w:val="24"/>
        </w:rPr>
      </w:pPr>
      <w:r w:rsidRPr="001B1E8A">
        <w:rPr>
          <w:rFonts w:ascii="Arial" w:hAnsi="Arial" w:cs="Arial"/>
          <w:sz w:val="24"/>
          <w:szCs w:val="24"/>
        </w:rPr>
        <w:t xml:space="preserve">Avaliação da presença de concha média bolhosa: </w:t>
      </w:r>
    </w:p>
    <w:p w14:paraId="20978BB6" w14:textId="38A65720" w:rsidR="00615619" w:rsidRPr="003125E9" w:rsidRDefault="000F21B1" w:rsidP="00165C21">
      <w:pPr>
        <w:suppressAutoHyphens/>
        <w:spacing w:line="480" w:lineRule="auto"/>
        <w:ind w:firstLine="720"/>
        <w:jc w:val="both"/>
      </w:pPr>
      <w:r w:rsidRPr="001B1E8A">
        <w:t>Pra esta finalidade, foram avaliados os cortes coronais. O Acerto do plano oclusal foi realizado previamente, levando-se em consideração o palato ósseo, que deve</w:t>
      </w:r>
      <w:r w:rsidR="003455AC">
        <w:t xml:space="preserve">ria estar </w:t>
      </w:r>
      <w:r w:rsidRPr="001B1E8A">
        <w:t xml:space="preserve">paralelo ao plano horizontal, que foi representado pela linha de orientação correspondente ao plano de corte axial </w:t>
      </w:r>
      <w:r w:rsidR="009A5480">
        <w:t>(Figura 2A</w:t>
      </w:r>
      <w:r w:rsidRPr="001B1E8A">
        <w:t>).</w:t>
      </w:r>
      <w:r w:rsidR="009A5480">
        <w:t xml:space="preserve"> </w:t>
      </w:r>
      <w:r w:rsidRPr="000F21B1">
        <w:t xml:space="preserve">Realizado o acerto do plano oclusal nos cortes coronais, </w:t>
      </w:r>
      <w:r w:rsidR="00A43DE2">
        <w:t>era</w:t>
      </w:r>
      <w:r w:rsidRPr="000F21B1">
        <w:t xml:space="preserve"> então estudada a presença </w:t>
      </w:r>
      <w:r w:rsidR="00A43DE2">
        <w:t xml:space="preserve">ou não </w:t>
      </w:r>
      <w:r w:rsidRPr="000F21B1">
        <w:t xml:space="preserve">da concha media bolhosa, representada por uma imagem </w:t>
      </w:r>
      <w:proofErr w:type="spellStart"/>
      <w:r w:rsidRPr="000F21B1">
        <w:t>hipodensa</w:t>
      </w:r>
      <w:proofErr w:type="spellEnd"/>
      <w:r w:rsidRPr="000F21B1">
        <w:t xml:space="preserve"> no interior de uma ou ambas as conchas nasais médias (Figura </w:t>
      </w:r>
      <w:r w:rsidR="009A5480">
        <w:t>2B</w:t>
      </w:r>
      <w:r w:rsidR="00165C21">
        <w:t>).</w:t>
      </w:r>
    </w:p>
    <w:p w14:paraId="42D87469" w14:textId="05F6C4FE" w:rsidR="009A5480" w:rsidRPr="003125E9" w:rsidRDefault="009A5480" w:rsidP="009A5480">
      <w:pPr>
        <w:spacing w:line="480" w:lineRule="auto"/>
        <w:jc w:val="both"/>
        <w:rPr>
          <w:b/>
        </w:rPr>
      </w:pPr>
      <w:proofErr w:type="spellStart"/>
      <w:r w:rsidRPr="003125E9">
        <w:rPr>
          <w:b/>
        </w:rPr>
        <w:t>Results</w:t>
      </w:r>
      <w:proofErr w:type="spellEnd"/>
    </w:p>
    <w:p w14:paraId="71CE6565" w14:textId="11442C15" w:rsidR="00165C21" w:rsidRDefault="00E026ED" w:rsidP="00683E90">
      <w:pPr>
        <w:autoSpaceDE w:val="0"/>
        <w:autoSpaceDN w:val="0"/>
        <w:adjustRightInd w:val="0"/>
        <w:spacing w:line="480" w:lineRule="auto"/>
        <w:ind w:firstLine="720"/>
        <w:jc w:val="both"/>
      </w:pPr>
      <w:r w:rsidRPr="003125E9">
        <w:t>A</w:t>
      </w:r>
      <w:r w:rsidR="00683E90">
        <w:t>s</w:t>
      </w:r>
      <w:r w:rsidRPr="003125E9">
        <w:t xml:space="preserve"> frequência</w:t>
      </w:r>
      <w:r w:rsidR="00683E90">
        <w:t>s</w:t>
      </w:r>
      <w:r w:rsidRPr="003125E9">
        <w:t xml:space="preserve"> da amostra quanto à sua distribuição em relação ao sexo e às fai</w:t>
      </w:r>
      <w:r w:rsidR="00683E90">
        <w:t>xas etárias estão</w:t>
      </w:r>
      <w:r w:rsidR="00C96AD2">
        <w:t xml:space="preserve"> evidenciada</w:t>
      </w:r>
      <w:r w:rsidR="00683E90">
        <w:t>s</w:t>
      </w:r>
      <w:r w:rsidR="00C96AD2">
        <w:t xml:space="preserve"> na Tabela</w:t>
      </w:r>
      <w:r w:rsidRPr="003125E9">
        <w:t xml:space="preserve"> 1</w:t>
      </w:r>
      <w:r w:rsidR="004F7954">
        <w:t>.</w:t>
      </w:r>
    </w:p>
    <w:p w14:paraId="07DD8C90" w14:textId="77777777" w:rsidR="00683E90" w:rsidRDefault="00683E90" w:rsidP="00683E90">
      <w:pPr>
        <w:autoSpaceDE w:val="0"/>
        <w:autoSpaceDN w:val="0"/>
        <w:adjustRightInd w:val="0"/>
        <w:spacing w:line="480" w:lineRule="auto"/>
        <w:ind w:firstLine="720"/>
        <w:jc w:val="both"/>
      </w:pPr>
    </w:p>
    <w:p w14:paraId="59663193" w14:textId="77777777" w:rsidR="00683E90" w:rsidRDefault="00683E90" w:rsidP="00683E90">
      <w:pPr>
        <w:autoSpaceDE w:val="0"/>
        <w:autoSpaceDN w:val="0"/>
        <w:adjustRightInd w:val="0"/>
        <w:spacing w:line="480" w:lineRule="auto"/>
        <w:ind w:firstLine="720"/>
        <w:jc w:val="both"/>
      </w:pPr>
    </w:p>
    <w:p w14:paraId="4088B642" w14:textId="77777777" w:rsidR="00683E90" w:rsidRDefault="00683E90" w:rsidP="00683E90">
      <w:pPr>
        <w:autoSpaceDE w:val="0"/>
        <w:autoSpaceDN w:val="0"/>
        <w:adjustRightInd w:val="0"/>
        <w:spacing w:line="480" w:lineRule="auto"/>
        <w:ind w:firstLine="720"/>
        <w:jc w:val="both"/>
      </w:pPr>
    </w:p>
    <w:p w14:paraId="57C4E45B" w14:textId="77777777" w:rsidR="00683E90" w:rsidRDefault="00683E90" w:rsidP="00683E90">
      <w:pPr>
        <w:autoSpaceDE w:val="0"/>
        <w:autoSpaceDN w:val="0"/>
        <w:adjustRightInd w:val="0"/>
        <w:spacing w:line="480" w:lineRule="auto"/>
        <w:ind w:firstLine="720"/>
        <w:jc w:val="both"/>
      </w:pPr>
    </w:p>
    <w:p w14:paraId="377963DB" w14:textId="77777777" w:rsidR="00683E90" w:rsidRDefault="00683E90" w:rsidP="00683E90">
      <w:pPr>
        <w:autoSpaceDE w:val="0"/>
        <w:autoSpaceDN w:val="0"/>
        <w:adjustRightInd w:val="0"/>
        <w:spacing w:line="480" w:lineRule="auto"/>
        <w:ind w:firstLine="720"/>
        <w:jc w:val="both"/>
      </w:pPr>
    </w:p>
    <w:p w14:paraId="46F89882" w14:textId="77777777" w:rsidR="00683E90" w:rsidRDefault="00683E90" w:rsidP="00683E90">
      <w:pPr>
        <w:autoSpaceDE w:val="0"/>
        <w:autoSpaceDN w:val="0"/>
        <w:adjustRightInd w:val="0"/>
        <w:spacing w:line="480" w:lineRule="auto"/>
        <w:ind w:firstLine="720"/>
        <w:jc w:val="both"/>
      </w:pPr>
    </w:p>
    <w:p w14:paraId="49FF85CC" w14:textId="77777777" w:rsidR="00683E90" w:rsidRDefault="00683E90" w:rsidP="00683E90">
      <w:pPr>
        <w:autoSpaceDE w:val="0"/>
        <w:autoSpaceDN w:val="0"/>
        <w:adjustRightInd w:val="0"/>
        <w:spacing w:line="480" w:lineRule="auto"/>
        <w:ind w:firstLine="720"/>
        <w:jc w:val="both"/>
      </w:pPr>
    </w:p>
    <w:p w14:paraId="6ABCC364" w14:textId="77777777" w:rsidR="00683E90" w:rsidRDefault="00683E90" w:rsidP="00683E90">
      <w:pPr>
        <w:autoSpaceDE w:val="0"/>
        <w:autoSpaceDN w:val="0"/>
        <w:adjustRightInd w:val="0"/>
        <w:spacing w:line="480" w:lineRule="auto"/>
        <w:ind w:firstLine="720"/>
        <w:jc w:val="both"/>
      </w:pPr>
    </w:p>
    <w:p w14:paraId="66A0BCD3" w14:textId="77777777" w:rsidR="00683E90" w:rsidRDefault="00683E90" w:rsidP="00683E90">
      <w:pPr>
        <w:autoSpaceDE w:val="0"/>
        <w:autoSpaceDN w:val="0"/>
        <w:adjustRightInd w:val="0"/>
        <w:spacing w:line="480" w:lineRule="auto"/>
        <w:ind w:firstLine="720"/>
        <w:jc w:val="both"/>
      </w:pPr>
    </w:p>
    <w:p w14:paraId="3F78E144" w14:textId="77777777" w:rsidR="00683E90" w:rsidRDefault="00683E90" w:rsidP="00683E90">
      <w:pPr>
        <w:autoSpaceDE w:val="0"/>
        <w:autoSpaceDN w:val="0"/>
        <w:adjustRightInd w:val="0"/>
        <w:spacing w:line="480" w:lineRule="auto"/>
        <w:ind w:firstLine="720"/>
        <w:jc w:val="both"/>
      </w:pPr>
    </w:p>
    <w:p w14:paraId="0FF7CE04" w14:textId="5DB23BC5" w:rsidR="004F7954" w:rsidRPr="004F7954" w:rsidRDefault="004F7954" w:rsidP="00022469">
      <w:pPr>
        <w:spacing w:line="360" w:lineRule="auto"/>
      </w:pPr>
      <w:r w:rsidRPr="004F7954">
        <w:t>Tabela 1 – Frequência</w:t>
      </w:r>
      <w:r w:rsidR="00CB7C97">
        <w:t>s de distribuição</w:t>
      </w:r>
      <w:r w:rsidRPr="004F7954">
        <w:t xml:space="preserve"> de indivíduos quanto ao sexo</w:t>
      </w:r>
      <w:r w:rsidR="00C96AD2">
        <w:t xml:space="preserve"> e </w:t>
      </w:r>
      <w:r w:rsidR="00CB7C97">
        <w:t xml:space="preserve">quanto às </w:t>
      </w:r>
      <w:r w:rsidRPr="004F7954">
        <w:t>faixas etárias</w:t>
      </w:r>
      <w:r w:rsidR="00C96AD2">
        <w:t>.</w:t>
      </w:r>
    </w:p>
    <w:tbl>
      <w:tblPr>
        <w:tblStyle w:val="TableGrid"/>
        <w:tblW w:w="9781" w:type="dxa"/>
        <w:tblInd w:w="108" w:type="dxa"/>
        <w:tblLook w:val="04A0" w:firstRow="1" w:lastRow="0" w:firstColumn="1" w:lastColumn="0" w:noHBand="0" w:noVBand="1"/>
      </w:tblPr>
      <w:tblGrid>
        <w:gridCol w:w="2552"/>
        <w:gridCol w:w="3260"/>
        <w:gridCol w:w="3969"/>
      </w:tblGrid>
      <w:tr w:rsidR="00C96AD2" w:rsidRPr="00526A26" w14:paraId="143425A9" w14:textId="77777777" w:rsidTr="00944A0D">
        <w:tc>
          <w:tcPr>
            <w:tcW w:w="2552" w:type="dxa"/>
            <w:tcBorders>
              <w:top w:val="single" w:sz="18" w:space="0" w:color="auto"/>
              <w:left w:val="nil"/>
            </w:tcBorders>
            <w:vAlign w:val="center"/>
          </w:tcPr>
          <w:p w14:paraId="3B5EF4E0" w14:textId="77777777" w:rsidR="00C96AD2" w:rsidRPr="00526A26" w:rsidRDefault="00C96AD2" w:rsidP="00FC5B7A">
            <w:pPr>
              <w:spacing w:line="360" w:lineRule="auto"/>
              <w:jc w:val="center"/>
              <w:rPr>
                <w:rFonts w:ascii="Arial" w:hAnsi="Arial" w:cs="Arial"/>
              </w:rPr>
            </w:pPr>
            <w:r w:rsidRPr="00526A26">
              <w:rPr>
                <w:rFonts w:ascii="Arial" w:hAnsi="Arial" w:cs="Arial"/>
              </w:rPr>
              <w:t>Sexo</w:t>
            </w:r>
          </w:p>
        </w:tc>
        <w:tc>
          <w:tcPr>
            <w:tcW w:w="3260" w:type="dxa"/>
            <w:tcBorders>
              <w:top w:val="single" w:sz="18" w:space="0" w:color="auto"/>
            </w:tcBorders>
            <w:vAlign w:val="center"/>
          </w:tcPr>
          <w:p w14:paraId="44E51A74" w14:textId="77777777" w:rsidR="00C96AD2" w:rsidRPr="00526A26" w:rsidRDefault="00C96AD2" w:rsidP="00FC5B7A">
            <w:pPr>
              <w:spacing w:line="360" w:lineRule="auto"/>
              <w:jc w:val="center"/>
              <w:rPr>
                <w:rFonts w:ascii="Arial" w:hAnsi="Arial" w:cs="Arial"/>
              </w:rPr>
            </w:pPr>
            <w:r w:rsidRPr="00526A26">
              <w:rPr>
                <w:rFonts w:ascii="Arial" w:hAnsi="Arial" w:cs="Arial"/>
              </w:rPr>
              <w:t>Numero indivíduos</w:t>
            </w:r>
          </w:p>
        </w:tc>
        <w:tc>
          <w:tcPr>
            <w:tcW w:w="3969" w:type="dxa"/>
            <w:tcBorders>
              <w:top w:val="single" w:sz="18" w:space="0" w:color="auto"/>
              <w:right w:val="nil"/>
            </w:tcBorders>
            <w:vAlign w:val="center"/>
          </w:tcPr>
          <w:p w14:paraId="2434AF41" w14:textId="77777777" w:rsidR="00C96AD2" w:rsidRPr="00526A26" w:rsidRDefault="00C96AD2" w:rsidP="00FC5B7A">
            <w:pPr>
              <w:spacing w:line="360" w:lineRule="auto"/>
              <w:jc w:val="center"/>
              <w:rPr>
                <w:rFonts w:ascii="Arial" w:hAnsi="Arial" w:cs="Arial"/>
              </w:rPr>
            </w:pPr>
            <w:r w:rsidRPr="00526A26">
              <w:rPr>
                <w:rFonts w:ascii="Arial" w:hAnsi="Arial" w:cs="Arial"/>
              </w:rPr>
              <w:t>Porcentagem  (%)</w:t>
            </w:r>
          </w:p>
        </w:tc>
      </w:tr>
      <w:tr w:rsidR="00C96AD2" w:rsidRPr="00526A26" w14:paraId="7E5E9005" w14:textId="77777777" w:rsidTr="00944A0D">
        <w:trPr>
          <w:trHeight w:val="1262"/>
        </w:trPr>
        <w:tc>
          <w:tcPr>
            <w:tcW w:w="2552" w:type="dxa"/>
            <w:tcBorders>
              <w:left w:val="nil"/>
              <w:bottom w:val="single" w:sz="18" w:space="0" w:color="auto"/>
            </w:tcBorders>
            <w:vAlign w:val="center"/>
          </w:tcPr>
          <w:p w14:paraId="2F957E17" w14:textId="77777777" w:rsidR="00C96AD2" w:rsidRPr="00526A26" w:rsidRDefault="00C96AD2" w:rsidP="00FC5B7A">
            <w:pPr>
              <w:spacing w:line="360" w:lineRule="auto"/>
              <w:jc w:val="center"/>
              <w:rPr>
                <w:rFonts w:ascii="Arial" w:hAnsi="Arial" w:cs="Arial"/>
              </w:rPr>
            </w:pPr>
            <w:r w:rsidRPr="00526A26">
              <w:rPr>
                <w:rFonts w:ascii="Arial" w:hAnsi="Arial" w:cs="Arial"/>
              </w:rPr>
              <w:t>Feminino</w:t>
            </w:r>
          </w:p>
          <w:p w14:paraId="15130CF4" w14:textId="77777777" w:rsidR="00C96AD2" w:rsidRPr="00526A26" w:rsidRDefault="00C96AD2" w:rsidP="00FC5B7A">
            <w:pPr>
              <w:spacing w:line="360" w:lineRule="auto"/>
              <w:jc w:val="center"/>
              <w:rPr>
                <w:rFonts w:ascii="Arial" w:hAnsi="Arial" w:cs="Arial"/>
              </w:rPr>
            </w:pPr>
            <w:r w:rsidRPr="00526A26">
              <w:rPr>
                <w:rFonts w:ascii="Arial" w:hAnsi="Arial" w:cs="Arial"/>
              </w:rPr>
              <w:t>Masculino</w:t>
            </w:r>
          </w:p>
          <w:p w14:paraId="16E4A2E4" w14:textId="77777777" w:rsidR="00C96AD2" w:rsidRPr="00526A26" w:rsidRDefault="00C96AD2" w:rsidP="00FC5B7A">
            <w:pPr>
              <w:spacing w:line="360" w:lineRule="auto"/>
              <w:jc w:val="center"/>
              <w:rPr>
                <w:rFonts w:ascii="Arial" w:hAnsi="Arial" w:cs="Arial"/>
              </w:rPr>
            </w:pPr>
            <w:r w:rsidRPr="00526A26">
              <w:rPr>
                <w:rFonts w:ascii="Arial" w:hAnsi="Arial" w:cs="Arial"/>
              </w:rPr>
              <w:t>Total</w:t>
            </w:r>
          </w:p>
        </w:tc>
        <w:tc>
          <w:tcPr>
            <w:tcW w:w="3260" w:type="dxa"/>
            <w:tcBorders>
              <w:bottom w:val="single" w:sz="18" w:space="0" w:color="auto"/>
            </w:tcBorders>
            <w:vAlign w:val="center"/>
          </w:tcPr>
          <w:p w14:paraId="5C49CBC9" w14:textId="77777777" w:rsidR="00C96AD2" w:rsidRPr="00526A26" w:rsidRDefault="00C96AD2" w:rsidP="00FC5B7A">
            <w:pPr>
              <w:spacing w:line="360" w:lineRule="auto"/>
              <w:jc w:val="center"/>
              <w:rPr>
                <w:rFonts w:ascii="Arial" w:hAnsi="Arial" w:cs="Arial"/>
              </w:rPr>
            </w:pPr>
            <w:r w:rsidRPr="00526A26">
              <w:rPr>
                <w:rFonts w:ascii="Arial" w:hAnsi="Arial" w:cs="Arial"/>
              </w:rPr>
              <w:t>78</w:t>
            </w:r>
          </w:p>
          <w:p w14:paraId="161BB863" w14:textId="77777777" w:rsidR="00C96AD2" w:rsidRPr="00526A26" w:rsidRDefault="00C96AD2" w:rsidP="00FC5B7A">
            <w:pPr>
              <w:spacing w:line="360" w:lineRule="auto"/>
              <w:jc w:val="center"/>
              <w:rPr>
                <w:rFonts w:ascii="Arial" w:hAnsi="Arial" w:cs="Arial"/>
              </w:rPr>
            </w:pPr>
            <w:r w:rsidRPr="00526A26">
              <w:rPr>
                <w:rFonts w:ascii="Arial" w:hAnsi="Arial" w:cs="Arial"/>
              </w:rPr>
              <w:t>40</w:t>
            </w:r>
          </w:p>
          <w:p w14:paraId="407D63B0" w14:textId="77777777" w:rsidR="00C96AD2" w:rsidRPr="00526A26" w:rsidRDefault="00C96AD2" w:rsidP="00FC5B7A">
            <w:pPr>
              <w:spacing w:line="360" w:lineRule="auto"/>
              <w:jc w:val="center"/>
              <w:rPr>
                <w:rFonts w:ascii="Arial" w:hAnsi="Arial" w:cs="Arial"/>
              </w:rPr>
            </w:pPr>
            <w:r w:rsidRPr="00526A26">
              <w:rPr>
                <w:rFonts w:ascii="Arial" w:hAnsi="Arial" w:cs="Arial"/>
              </w:rPr>
              <w:t>118</w:t>
            </w:r>
          </w:p>
        </w:tc>
        <w:tc>
          <w:tcPr>
            <w:tcW w:w="3969" w:type="dxa"/>
            <w:tcBorders>
              <w:bottom w:val="single" w:sz="18" w:space="0" w:color="auto"/>
              <w:right w:val="nil"/>
            </w:tcBorders>
            <w:vAlign w:val="center"/>
          </w:tcPr>
          <w:p w14:paraId="256639D8" w14:textId="77777777" w:rsidR="00C96AD2" w:rsidRPr="00526A26" w:rsidRDefault="00C96AD2" w:rsidP="00FC5B7A">
            <w:pPr>
              <w:spacing w:line="360" w:lineRule="auto"/>
              <w:jc w:val="center"/>
              <w:rPr>
                <w:rFonts w:ascii="Arial" w:hAnsi="Arial" w:cs="Arial"/>
              </w:rPr>
            </w:pPr>
            <w:r w:rsidRPr="00526A26">
              <w:rPr>
                <w:rFonts w:ascii="Arial" w:hAnsi="Arial" w:cs="Arial"/>
              </w:rPr>
              <w:t>66,1</w:t>
            </w:r>
          </w:p>
          <w:p w14:paraId="5DC5E451" w14:textId="77777777" w:rsidR="00C96AD2" w:rsidRPr="00526A26" w:rsidRDefault="00C96AD2" w:rsidP="00FC5B7A">
            <w:pPr>
              <w:spacing w:line="360" w:lineRule="auto"/>
              <w:jc w:val="center"/>
              <w:rPr>
                <w:rFonts w:ascii="Arial" w:hAnsi="Arial" w:cs="Arial"/>
              </w:rPr>
            </w:pPr>
            <w:r w:rsidRPr="00526A26">
              <w:rPr>
                <w:rFonts w:ascii="Arial" w:hAnsi="Arial" w:cs="Arial"/>
              </w:rPr>
              <w:t>33,9</w:t>
            </w:r>
          </w:p>
          <w:p w14:paraId="0BD4D0E5" w14:textId="77777777" w:rsidR="00C96AD2" w:rsidRPr="00526A26" w:rsidRDefault="00C96AD2" w:rsidP="00FC5B7A">
            <w:pPr>
              <w:spacing w:line="360" w:lineRule="auto"/>
              <w:jc w:val="center"/>
              <w:rPr>
                <w:rFonts w:ascii="Arial" w:hAnsi="Arial" w:cs="Arial"/>
              </w:rPr>
            </w:pPr>
            <w:r w:rsidRPr="00526A26">
              <w:rPr>
                <w:rFonts w:ascii="Arial" w:hAnsi="Arial" w:cs="Arial"/>
              </w:rPr>
              <w:t>100</w:t>
            </w:r>
          </w:p>
        </w:tc>
      </w:tr>
      <w:tr w:rsidR="00C96AD2" w:rsidRPr="00526A26" w14:paraId="31485294" w14:textId="77777777" w:rsidTr="00944A0D">
        <w:tc>
          <w:tcPr>
            <w:tcW w:w="2552" w:type="dxa"/>
            <w:tcBorders>
              <w:top w:val="single" w:sz="18" w:space="0" w:color="auto"/>
              <w:left w:val="nil"/>
            </w:tcBorders>
            <w:vAlign w:val="center"/>
          </w:tcPr>
          <w:p w14:paraId="0CC7FDD1" w14:textId="77777777" w:rsidR="00C96AD2" w:rsidRPr="00526A26" w:rsidRDefault="00C96AD2" w:rsidP="00FC5B7A">
            <w:pPr>
              <w:spacing w:line="360" w:lineRule="auto"/>
              <w:jc w:val="center"/>
              <w:rPr>
                <w:rFonts w:ascii="Arial" w:hAnsi="Arial" w:cs="Arial"/>
              </w:rPr>
            </w:pPr>
            <w:r w:rsidRPr="00526A26">
              <w:rPr>
                <w:rFonts w:ascii="Arial" w:hAnsi="Arial" w:cs="Arial"/>
              </w:rPr>
              <w:t>Faixa Etária</w:t>
            </w:r>
            <w:r>
              <w:rPr>
                <w:rFonts w:ascii="Arial" w:hAnsi="Arial" w:cs="Arial"/>
              </w:rPr>
              <w:t>*</w:t>
            </w:r>
          </w:p>
        </w:tc>
        <w:tc>
          <w:tcPr>
            <w:tcW w:w="3260" w:type="dxa"/>
            <w:tcBorders>
              <w:top w:val="single" w:sz="18" w:space="0" w:color="auto"/>
            </w:tcBorders>
            <w:vAlign w:val="center"/>
          </w:tcPr>
          <w:p w14:paraId="6F60E0E9" w14:textId="77777777" w:rsidR="00C96AD2" w:rsidRPr="00526A26" w:rsidRDefault="00C96AD2" w:rsidP="00FC5B7A">
            <w:pPr>
              <w:spacing w:line="360" w:lineRule="auto"/>
              <w:jc w:val="center"/>
              <w:rPr>
                <w:rFonts w:ascii="Arial" w:hAnsi="Arial" w:cs="Arial"/>
              </w:rPr>
            </w:pPr>
            <w:r w:rsidRPr="004F7954">
              <w:rPr>
                <w:rFonts w:ascii="Arial" w:hAnsi="Arial" w:cs="Arial"/>
              </w:rPr>
              <w:t>Número de Indivíduos</w:t>
            </w:r>
          </w:p>
        </w:tc>
        <w:tc>
          <w:tcPr>
            <w:tcW w:w="3969" w:type="dxa"/>
            <w:tcBorders>
              <w:top w:val="single" w:sz="18" w:space="0" w:color="auto"/>
              <w:right w:val="nil"/>
            </w:tcBorders>
            <w:vAlign w:val="center"/>
          </w:tcPr>
          <w:p w14:paraId="72A14E5E" w14:textId="77777777" w:rsidR="00C96AD2" w:rsidRPr="00526A26" w:rsidRDefault="00C96AD2" w:rsidP="00FC5B7A">
            <w:pPr>
              <w:spacing w:line="360" w:lineRule="auto"/>
              <w:jc w:val="center"/>
              <w:rPr>
                <w:rFonts w:ascii="Arial" w:hAnsi="Arial" w:cs="Arial"/>
              </w:rPr>
            </w:pPr>
            <w:r w:rsidRPr="004F7954">
              <w:rPr>
                <w:rFonts w:ascii="Arial" w:hAnsi="Arial" w:cs="Arial"/>
              </w:rPr>
              <w:t>Porcentagem (%)</w:t>
            </w:r>
          </w:p>
        </w:tc>
      </w:tr>
      <w:tr w:rsidR="00C96AD2" w:rsidRPr="00526A26" w14:paraId="5BCE30F9" w14:textId="77777777" w:rsidTr="00944A0D">
        <w:trPr>
          <w:trHeight w:val="3382"/>
        </w:trPr>
        <w:tc>
          <w:tcPr>
            <w:tcW w:w="2552" w:type="dxa"/>
            <w:tcBorders>
              <w:left w:val="nil"/>
              <w:bottom w:val="single" w:sz="18" w:space="0" w:color="auto"/>
            </w:tcBorders>
          </w:tcPr>
          <w:p w14:paraId="3E94B6EE" w14:textId="77777777" w:rsidR="00C96AD2" w:rsidRPr="00526A26" w:rsidRDefault="00C96AD2" w:rsidP="00FC5B7A">
            <w:pPr>
              <w:spacing w:line="360" w:lineRule="auto"/>
              <w:jc w:val="center"/>
              <w:rPr>
                <w:rFonts w:ascii="Arial" w:hAnsi="Arial" w:cs="Arial"/>
              </w:rPr>
            </w:pPr>
            <w:r w:rsidRPr="00526A26">
              <w:rPr>
                <w:rFonts w:ascii="Arial" w:hAnsi="Arial" w:cs="Arial"/>
              </w:rPr>
              <w:t>10 – 20 anos</w:t>
            </w:r>
          </w:p>
          <w:p w14:paraId="6A3AA705" w14:textId="77777777" w:rsidR="00C96AD2" w:rsidRPr="00526A26" w:rsidRDefault="00C96AD2" w:rsidP="00FC5B7A">
            <w:pPr>
              <w:spacing w:line="360" w:lineRule="auto"/>
              <w:jc w:val="center"/>
              <w:rPr>
                <w:rFonts w:ascii="Arial" w:hAnsi="Arial" w:cs="Arial"/>
              </w:rPr>
            </w:pPr>
            <w:r w:rsidRPr="00526A26">
              <w:rPr>
                <w:rFonts w:ascii="Arial" w:hAnsi="Arial" w:cs="Arial"/>
              </w:rPr>
              <w:t>21 – 30 anos</w:t>
            </w:r>
          </w:p>
          <w:p w14:paraId="67264D7F" w14:textId="77777777" w:rsidR="00C96AD2" w:rsidRPr="00526A26" w:rsidRDefault="00C96AD2" w:rsidP="00FC5B7A">
            <w:pPr>
              <w:spacing w:line="360" w:lineRule="auto"/>
              <w:jc w:val="center"/>
              <w:rPr>
                <w:rFonts w:ascii="Arial" w:hAnsi="Arial" w:cs="Arial"/>
              </w:rPr>
            </w:pPr>
            <w:r w:rsidRPr="00526A26">
              <w:rPr>
                <w:rFonts w:ascii="Arial" w:hAnsi="Arial" w:cs="Arial"/>
              </w:rPr>
              <w:t>31 – 40 anos</w:t>
            </w:r>
          </w:p>
          <w:p w14:paraId="4377E371" w14:textId="77777777" w:rsidR="00C96AD2" w:rsidRPr="00526A26" w:rsidRDefault="00C96AD2" w:rsidP="00FC5B7A">
            <w:pPr>
              <w:spacing w:line="360" w:lineRule="auto"/>
              <w:jc w:val="center"/>
              <w:rPr>
                <w:rFonts w:ascii="Arial" w:hAnsi="Arial" w:cs="Arial"/>
              </w:rPr>
            </w:pPr>
            <w:r w:rsidRPr="00526A26">
              <w:rPr>
                <w:rFonts w:ascii="Arial" w:hAnsi="Arial" w:cs="Arial"/>
              </w:rPr>
              <w:t>41 – 50 anos</w:t>
            </w:r>
          </w:p>
          <w:p w14:paraId="695D4BE0" w14:textId="77777777" w:rsidR="00C96AD2" w:rsidRPr="00526A26" w:rsidRDefault="00C96AD2" w:rsidP="00FC5B7A">
            <w:pPr>
              <w:spacing w:line="360" w:lineRule="auto"/>
              <w:jc w:val="center"/>
              <w:rPr>
                <w:rFonts w:ascii="Arial" w:hAnsi="Arial" w:cs="Arial"/>
              </w:rPr>
            </w:pPr>
            <w:r w:rsidRPr="00526A26">
              <w:rPr>
                <w:rFonts w:ascii="Arial" w:hAnsi="Arial" w:cs="Arial"/>
              </w:rPr>
              <w:t>51 – 60 anos</w:t>
            </w:r>
          </w:p>
          <w:p w14:paraId="3B34CACF" w14:textId="77777777" w:rsidR="00C96AD2" w:rsidRPr="00526A26" w:rsidRDefault="00C96AD2" w:rsidP="00FC5B7A">
            <w:pPr>
              <w:spacing w:line="360" w:lineRule="auto"/>
              <w:jc w:val="center"/>
              <w:rPr>
                <w:rFonts w:ascii="Arial" w:hAnsi="Arial" w:cs="Arial"/>
              </w:rPr>
            </w:pPr>
            <w:r w:rsidRPr="00526A26">
              <w:rPr>
                <w:rFonts w:ascii="Arial" w:hAnsi="Arial" w:cs="Arial"/>
              </w:rPr>
              <w:t xml:space="preserve">    61- 70 anos</w:t>
            </w:r>
          </w:p>
          <w:p w14:paraId="73553965" w14:textId="77777777" w:rsidR="00C96AD2" w:rsidRPr="00526A26" w:rsidRDefault="00C96AD2" w:rsidP="00FC5B7A">
            <w:pPr>
              <w:spacing w:line="360" w:lineRule="auto"/>
              <w:jc w:val="center"/>
              <w:rPr>
                <w:rFonts w:ascii="Arial" w:hAnsi="Arial" w:cs="Arial"/>
              </w:rPr>
            </w:pPr>
            <w:r w:rsidRPr="00526A26">
              <w:rPr>
                <w:rFonts w:ascii="Arial" w:hAnsi="Arial" w:cs="Arial"/>
              </w:rPr>
              <w:t>71 – 80 anos</w:t>
            </w:r>
          </w:p>
          <w:p w14:paraId="2787BB7F" w14:textId="77777777" w:rsidR="00C96AD2" w:rsidRPr="00526A26" w:rsidRDefault="00C96AD2" w:rsidP="00FC5B7A">
            <w:pPr>
              <w:spacing w:line="360" w:lineRule="auto"/>
              <w:jc w:val="center"/>
              <w:rPr>
                <w:rFonts w:ascii="Arial" w:hAnsi="Arial" w:cs="Arial"/>
              </w:rPr>
            </w:pPr>
            <w:r w:rsidRPr="00526A26">
              <w:rPr>
                <w:rFonts w:ascii="Arial" w:hAnsi="Arial" w:cs="Arial"/>
              </w:rPr>
              <w:t>Total</w:t>
            </w:r>
          </w:p>
        </w:tc>
        <w:tc>
          <w:tcPr>
            <w:tcW w:w="3260" w:type="dxa"/>
            <w:tcBorders>
              <w:bottom w:val="single" w:sz="18" w:space="0" w:color="auto"/>
            </w:tcBorders>
          </w:tcPr>
          <w:p w14:paraId="1D30CEE1" w14:textId="77777777" w:rsidR="00C96AD2" w:rsidRPr="00526A26" w:rsidRDefault="00C96AD2" w:rsidP="00FC5B7A">
            <w:pPr>
              <w:spacing w:line="360" w:lineRule="auto"/>
              <w:jc w:val="center"/>
              <w:rPr>
                <w:rFonts w:ascii="Arial" w:hAnsi="Arial" w:cs="Arial"/>
              </w:rPr>
            </w:pPr>
            <w:r w:rsidRPr="00526A26">
              <w:rPr>
                <w:rFonts w:ascii="Arial" w:hAnsi="Arial" w:cs="Arial"/>
              </w:rPr>
              <w:t>11</w:t>
            </w:r>
          </w:p>
          <w:p w14:paraId="747D5C1C" w14:textId="77777777" w:rsidR="00C96AD2" w:rsidRPr="00526A26" w:rsidRDefault="00C96AD2" w:rsidP="00FC5B7A">
            <w:pPr>
              <w:spacing w:line="360" w:lineRule="auto"/>
              <w:jc w:val="center"/>
              <w:rPr>
                <w:rFonts w:ascii="Arial" w:hAnsi="Arial" w:cs="Arial"/>
              </w:rPr>
            </w:pPr>
            <w:r w:rsidRPr="00526A26">
              <w:rPr>
                <w:rFonts w:ascii="Arial" w:hAnsi="Arial" w:cs="Arial"/>
              </w:rPr>
              <w:t>16</w:t>
            </w:r>
          </w:p>
          <w:p w14:paraId="08439E3A" w14:textId="77777777" w:rsidR="00C96AD2" w:rsidRPr="00526A26" w:rsidRDefault="00C96AD2" w:rsidP="00FC5B7A">
            <w:pPr>
              <w:spacing w:line="360" w:lineRule="auto"/>
              <w:jc w:val="center"/>
              <w:rPr>
                <w:rFonts w:ascii="Arial" w:hAnsi="Arial" w:cs="Arial"/>
              </w:rPr>
            </w:pPr>
            <w:r w:rsidRPr="00526A26">
              <w:rPr>
                <w:rFonts w:ascii="Arial" w:hAnsi="Arial" w:cs="Arial"/>
              </w:rPr>
              <w:t>26</w:t>
            </w:r>
          </w:p>
          <w:p w14:paraId="2519DAE2" w14:textId="77777777" w:rsidR="00C96AD2" w:rsidRPr="00526A26" w:rsidRDefault="00C96AD2" w:rsidP="00FC5B7A">
            <w:pPr>
              <w:spacing w:line="360" w:lineRule="auto"/>
              <w:jc w:val="center"/>
              <w:rPr>
                <w:rFonts w:ascii="Arial" w:hAnsi="Arial" w:cs="Arial"/>
              </w:rPr>
            </w:pPr>
            <w:r w:rsidRPr="00526A26">
              <w:rPr>
                <w:rFonts w:ascii="Arial" w:hAnsi="Arial" w:cs="Arial"/>
              </w:rPr>
              <w:t>23</w:t>
            </w:r>
          </w:p>
          <w:p w14:paraId="6BEED256" w14:textId="77777777" w:rsidR="00C96AD2" w:rsidRPr="00526A26" w:rsidRDefault="00C96AD2" w:rsidP="00FC5B7A">
            <w:pPr>
              <w:spacing w:line="360" w:lineRule="auto"/>
              <w:jc w:val="center"/>
              <w:rPr>
                <w:rFonts w:ascii="Arial" w:hAnsi="Arial" w:cs="Arial"/>
              </w:rPr>
            </w:pPr>
            <w:r w:rsidRPr="00526A26">
              <w:rPr>
                <w:rFonts w:ascii="Arial" w:hAnsi="Arial" w:cs="Arial"/>
              </w:rPr>
              <w:t>25</w:t>
            </w:r>
          </w:p>
          <w:p w14:paraId="44081CF6" w14:textId="77777777" w:rsidR="00C96AD2" w:rsidRPr="00526A26" w:rsidRDefault="00C96AD2" w:rsidP="00FC5B7A">
            <w:pPr>
              <w:spacing w:line="360" w:lineRule="auto"/>
              <w:jc w:val="center"/>
              <w:rPr>
                <w:rFonts w:ascii="Arial" w:hAnsi="Arial" w:cs="Arial"/>
              </w:rPr>
            </w:pPr>
            <w:r w:rsidRPr="00526A26">
              <w:rPr>
                <w:rFonts w:ascii="Arial" w:hAnsi="Arial" w:cs="Arial"/>
              </w:rPr>
              <w:t>12</w:t>
            </w:r>
          </w:p>
          <w:p w14:paraId="064BDC9E" w14:textId="77777777" w:rsidR="00C96AD2" w:rsidRPr="00526A26" w:rsidRDefault="00C96AD2" w:rsidP="00FC5B7A">
            <w:pPr>
              <w:spacing w:line="360" w:lineRule="auto"/>
              <w:jc w:val="center"/>
              <w:rPr>
                <w:rFonts w:ascii="Arial" w:hAnsi="Arial" w:cs="Arial"/>
              </w:rPr>
            </w:pPr>
            <w:r w:rsidRPr="00526A26">
              <w:rPr>
                <w:rFonts w:ascii="Arial" w:hAnsi="Arial" w:cs="Arial"/>
              </w:rPr>
              <w:t>5</w:t>
            </w:r>
          </w:p>
          <w:p w14:paraId="275B454F" w14:textId="77777777" w:rsidR="00C96AD2" w:rsidRPr="00526A26" w:rsidRDefault="00C96AD2" w:rsidP="00FC5B7A">
            <w:pPr>
              <w:spacing w:line="360" w:lineRule="auto"/>
              <w:jc w:val="center"/>
              <w:rPr>
                <w:rFonts w:ascii="Arial" w:hAnsi="Arial" w:cs="Arial"/>
              </w:rPr>
            </w:pPr>
            <w:r w:rsidRPr="00526A26">
              <w:rPr>
                <w:rFonts w:ascii="Arial" w:hAnsi="Arial" w:cs="Arial"/>
              </w:rPr>
              <w:t>119</w:t>
            </w:r>
          </w:p>
        </w:tc>
        <w:tc>
          <w:tcPr>
            <w:tcW w:w="3969" w:type="dxa"/>
            <w:tcBorders>
              <w:bottom w:val="single" w:sz="18" w:space="0" w:color="auto"/>
              <w:right w:val="nil"/>
            </w:tcBorders>
          </w:tcPr>
          <w:p w14:paraId="737EAC1B" w14:textId="77777777" w:rsidR="00C96AD2" w:rsidRPr="00526A26" w:rsidRDefault="00C96AD2" w:rsidP="00FC5B7A">
            <w:pPr>
              <w:spacing w:line="360" w:lineRule="auto"/>
              <w:jc w:val="center"/>
              <w:rPr>
                <w:rFonts w:ascii="Arial" w:hAnsi="Arial" w:cs="Arial"/>
              </w:rPr>
            </w:pPr>
            <w:r w:rsidRPr="00526A26">
              <w:rPr>
                <w:rFonts w:ascii="Arial" w:hAnsi="Arial" w:cs="Arial"/>
              </w:rPr>
              <w:t>9.34</w:t>
            </w:r>
          </w:p>
          <w:p w14:paraId="5D9D81CA" w14:textId="77777777" w:rsidR="00C96AD2" w:rsidRPr="00526A26" w:rsidRDefault="00C96AD2" w:rsidP="00FC5B7A">
            <w:pPr>
              <w:spacing w:line="360" w:lineRule="auto"/>
              <w:jc w:val="center"/>
              <w:rPr>
                <w:rFonts w:ascii="Arial" w:hAnsi="Arial" w:cs="Arial"/>
              </w:rPr>
            </w:pPr>
            <w:r w:rsidRPr="00526A26">
              <w:rPr>
                <w:rFonts w:ascii="Arial" w:hAnsi="Arial" w:cs="Arial"/>
              </w:rPr>
              <w:t>13.5</w:t>
            </w:r>
          </w:p>
          <w:p w14:paraId="7E89177E" w14:textId="77777777" w:rsidR="00C96AD2" w:rsidRPr="00526A26" w:rsidRDefault="00C96AD2" w:rsidP="00FC5B7A">
            <w:pPr>
              <w:spacing w:line="360" w:lineRule="auto"/>
              <w:jc w:val="center"/>
              <w:rPr>
                <w:rFonts w:ascii="Arial" w:hAnsi="Arial" w:cs="Arial"/>
              </w:rPr>
            </w:pPr>
            <w:r w:rsidRPr="00526A26">
              <w:rPr>
                <w:rFonts w:ascii="Arial" w:hAnsi="Arial" w:cs="Arial"/>
              </w:rPr>
              <w:t>22.03</w:t>
            </w:r>
          </w:p>
          <w:p w14:paraId="6C57394D" w14:textId="77777777" w:rsidR="00C96AD2" w:rsidRPr="00526A26" w:rsidRDefault="00C96AD2" w:rsidP="00FC5B7A">
            <w:pPr>
              <w:spacing w:line="360" w:lineRule="auto"/>
              <w:jc w:val="center"/>
              <w:rPr>
                <w:rFonts w:ascii="Arial" w:hAnsi="Arial" w:cs="Arial"/>
              </w:rPr>
            </w:pPr>
            <w:r w:rsidRPr="00526A26">
              <w:rPr>
                <w:rFonts w:ascii="Arial" w:hAnsi="Arial" w:cs="Arial"/>
              </w:rPr>
              <w:t>19.5</w:t>
            </w:r>
          </w:p>
          <w:p w14:paraId="693E3AFA" w14:textId="77777777" w:rsidR="00C96AD2" w:rsidRPr="00526A26" w:rsidRDefault="00C96AD2" w:rsidP="00FC5B7A">
            <w:pPr>
              <w:spacing w:line="360" w:lineRule="auto"/>
              <w:jc w:val="center"/>
              <w:rPr>
                <w:rFonts w:ascii="Arial" w:hAnsi="Arial" w:cs="Arial"/>
              </w:rPr>
            </w:pPr>
            <w:r w:rsidRPr="00526A26">
              <w:rPr>
                <w:rFonts w:ascii="Arial" w:hAnsi="Arial" w:cs="Arial"/>
              </w:rPr>
              <w:t>21.2</w:t>
            </w:r>
          </w:p>
          <w:p w14:paraId="13697A57" w14:textId="77777777" w:rsidR="00C96AD2" w:rsidRPr="00526A26" w:rsidRDefault="00C96AD2" w:rsidP="00FC5B7A">
            <w:pPr>
              <w:spacing w:line="360" w:lineRule="auto"/>
              <w:jc w:val="center"/>
              <w:rPr>
                <w:rFonts w:ascii="Arial" w:hAnsi="Arial" w:cs="Arial"/>
              </w:rPr>
            </w:pPr>
            <w:r w:rsidRPr="00526A26">
              <w:rPr>
                <w:rFonts w:ascii="Arial" w:hAnsi="Arial" w:cs="Arial"/>
              </w:rPr>
              <w:t>10.2</w:t>
            </w:r>
          </w:p>
          <w:p w14:paraId="50871633" w14:textId="77777777" w:rsidR="00C96AD2" w:rsidRPr="00526A26" w:rsidRDefault="00C96AD2" w:rsidP="00FC5B7A">
            <w:pPr>
              <w:spacing w:line="360" w:lineRule="auto"/>
              <w:jc w:val="center"/>
              <w:rPr>
                <w:rFonts w:ascii="Arial" w:hAnsi="Arial" w:cs="Arial"/>
              </w:rPr>
            </w:pPr>
            <w:r w:rsidRPr="00526A26">
              <w:rPr>
                <w:rFonts w:ascii="Arial" w:hAnsi="Arial" w:cs="Arial"/>
              </w:rPr>
              <w:t>4.23</w:t>
            </w:r>
          </w:p>
          <w:p w14:paraId="696B7E03" w14:textId="77777777" w:rsidR="00C96AD2" w:rsidRPr="00526A26" w:rsidRDefault="00C96AD2" w:rsidP="00FC5B7A">
            <w:pPr>
              <w:spacing w:line="360" w:lineRule="auto"/>
              <w:jc w:val="center"/>
              <w:rPr>
                <w:rFonts w:ascii="Arial" w:hAnsi="Arial" w:cs="Arial"/>
              </w:rPr>
            </w:pPr>
            <w:r w:rsidRPr="00526A26">
              <w:rPr>
                <w:rFonts w:ascii="Arial" w:hAnsi="Arial" w:cs="Arial"/>
              </w:rPr>
              <w:t>100</w:t>
            </w:r>
          </w:p>
        </w:tc>
      </w:tr>
    </w:tbl>
    <w:p w14:paraId="4124D5ED" w14:textId="022B1735" w:rsidR="004F7954" w:rsidRPr="00615619" w:rsidRDefault="00C96AD2" w:rsidP="00615619">
      <w:r>
        <w:t xml:space="preserve"> * media </w:t>
      </w:r>
      <w:r w:rsidR="003974EB">
        <w:t xml:space="preserve">de </w:t>
      </w:r>
      <w:r>
        <w:t>idade</w:t>
      </w:r>
      <w:r w:rsidR="003974EB">
        <w:t xml:space="preserve"> </w:t>
      </w:r>
      <w:r>
        <w:t>= 42 anos</w:t>
      </w:r>
    </w:p>
    <w:p w14:paraId="052E0A64" w14:textId="77777777" w:rsidR="00165C21" w:rsidRDefault="00E026ED" w:rsidP="00165C21">
      <w:pPr>
        <w:autoSpaceDE w:val="0"/>
        <w:autoSpaceDN w:val="0"/>
        <w:adjustRightInd w:val="0"/>
        <w:spacing w:line="480" w:lineRule="auto"/>
        <w:jc w:val="both"/>
        <w:rPr>
          <w:b/>
        </w:rPr>
      </w:pPr>
      <w:r w:rsidRPr="003125E9">
        <w:rPr>
          <w:b/>
        </w:rPr>
        <w:t xml:space="preserve">       </w:t>
      </w:r>
    </w:p>
    <w:p w14:paraId="66569E6A" w14:textId="02F7CA52" w:rsidR="00615619" w:rsidRPr="00165C21" w:rsidRDefault="00683E90" w:rsidP="00165C21">
      <w:pPr>
        <w:autoSpaceDE w:val="0"/>
        <w:autoSpaceDN w:val="0"/>
        <w:adjustRightInd w:val="0"/>
        <w:spacing w:line="480" w:lineRule="auto"/>
        <w:ind w:firstLine="720"/>
        <w:jc w:val="both"/>
        <w:rPr>
          <w:b/>
        </w:rPr>
      </w:pPr>
      <w:r>
        <w:t xml:space="preserve">Frequência </w:t>
      </w:r>
      <w:r w:rsidR="00E026ED" w:rsidRPr="003125E9">
        <w:t xml:space="preserve">do desvio de septo nasal, </w:t>
      </w:r>
      <w:r>
        <w:t xml:space="preserve">e </w:t>
      </w:r>
      <w:r w:rsidR="00D22BF2">
        <w:t>a distribuição deste de acordo com o la</w:t>
      </w:r>
      <w:r>
        <w:t>do  - direito ou esquerdo - estão</w:t>
      </w:r>
      <w:r w:rsidR="00D22BF2">
        <w:t xml:space="preserve"> exibido</w:t>
      </w:r>
      <w:r>
        <w:t>s</w:t>
      </w:r>
      <w:r w:rsidR="00FC5B7A">
        <w:t xml:space="preserve"> na Tabela 2</w:t>
      </w:r>
      <w:r w:rsidR="00E026ED" w:rsidRPr="003125E9">
        <w:t>.</w:t>
      </w:r>
    </w:p>
    <w:p w14:paraId="7CA343CD" w14:textId="7E0F2FE2" w:rsidR="00022469" w:rsidRPr="004F7954" w:rsidRDefault="00EE1193" w:rsidP="00022469">
      <w:pPr>
        <w:autoSpaceDE w:val="0"/>
        <w:autoSpaceDN w:val="0"/>
        <w:adjustRightInd w:val="0"/>
        <w:spacing w:line="480" w:lineRule="auto"/>
        <w:jc w:val="both"/>
      </w:pPr>
      <w:r>
        <w:t>Tabela 2</w:t>
      </w:r>
      <w:r w:rsidR="004F7954" w:rsidRPr="004F7954">
        <w:t xml:space="preserve"> – Freq</w:t>
      </w:r>
      <w:r w:rsidR="00D22BF2">
        <w:t>uência</w:t>
      </w:r>
      <w:r w:rsidR="00CB7C97">
        <w:t>s</w:t>
      </w:r>
      <w:r w:rsidR="00D22BF2">
        <w:t xml:space="preserve"> do desvio de septo nasal na amostra total e distribuição deste, quando presente, de acordo com o lado (direito ou esquerdo).</w:t>
      </w:r>
    </w:p>
    <w:tbl>
      <w:tblPr>
        <w:tblStyle w:val="TableGrid"/>
        <w:tblW w:w="9072"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268"/>
        <w:gridCol w:w="4252"/>
      </w:tblGrid>
      <w:tr w:rsidR="00D22BF2" w:rsidRPr="00615619" w14:paraId="44611C02" w14:textId="77777777" w:rsidTr="00944A0D">
        <w:tc>
          <w:tcPr>
            <w:tcW w:w="2552" w:type="dxa"/>
            <w:tcBorders>
              <w:top w:val="single" w:sz="18" w:space="0" w:color="auto"/>
              <w:bottom w:val="single" w:sz="4" w:space="0" w:color="auto"/>
            </w:tcBorders>
          </w:tcPr>
          <w:p w14:paraId="4F0861D4" w14:textId="77777777" w:rsidR="00D22BF2" w:rsidRPr="00615619" w:rsidRDefault="00D22BF2" w:rsidP="00EE1193">
            <w:pPr>
              <w:spacing w:line="360" w:lineRule="auto"/>
              <w:jc w:val="center"/>
              <w:rPr>
                <w:rFonts w:ascii="Arial" w:hAnsi="Arial" w:cs="Arial"/>
              </w:rPr>
            </w:pPr>
            <w:r w:rsidRPr="00615619">
              <w:rPr>
                <w:rFonts w:ascii="Arial" w:hAnsi="Arial" w:cs="Arial"/>
              </w:rPr>
              <w:t>Desvio de septo nasal</w:t>
            </w:r>
          </w:p>
        </w:tc>
        <w:tc>
          <w:tcPr>
            <w:tcW w:w="2268" w:type="dxa"/>
            <w:tcBorders>
              <w:top w:val="single" w:sz="18" w:space="0" w:color="auto"/>
              <w:bottom w:val="single" w:sz="4" w:space="0" w:color="auto"/>
            </w:tcBorders>
          </w:tcPr>
          <w:p w14:paraId="0F9DD590" w14:textId="77777777" w:rsidR="00D22BF2" w:rsidRPr="00615619" w:rsidRDefault="00D22BF2" w:rsidP="00EE1193">
            <w:pPr>
              <w:spacing w:line="360" w:lineRule="auto"/>
              <w:jc w:val="center"/>
              <w:rPr>
                <w:rFonts w:ascii="Arial" w:hAnsi="Arial" w:cs="Arial"/>
              </w:rPr>
            </w:pPr>
            <w:r w:rsidRPr="00615619">
              <w:rPr>
                <w:rFonts w:ascii="Arial" w:hAnsi="Arial" w:cs="Arial"/>
              </w:rPr>
              <w:t>Frequências</w:t>
            </w:r>
          </w:p>
        </w:tc>
        <w:tc>
          <w:tcPr>
            <w:tcW w:w="4252" w:type="dxa"/>
            <w:tcBorders>
              <w:top w:val="single" w:sz="18" w:space="0" w:color="auto"/>
              <w:bottom w:val="single" w:sz="4" w:space="0" w:color="auto"/>
            </w:tcBorders>
          </w:tcPr>
          <w:p w14:paraId="3516BD18" w14:textId="77777777" w:rsidR="00D22BF2" w:rsidRPr="00615619" w:rsidRDefault="00D22BF2" w:rsidP="00EE1193">
            <w:pPr>
              <w:spacing w:line="360" w:lineRule="auto"/>
              <w:jc w:val="center"/>
              <w:rPr>
                <w:rFonts w:ascii="Arial" w:hAnsi="Arial" w:cs="Arial"/>
              </w:rPr>
            </w:pPr>
            <w:r w:rsidRPr="00615619">
              <w:rPr>
                <w:rFonts w:ascii="Arial" w:hAnsi="Arial" w:cs="Arial"/>
              </w:rPr>
              <w:t>Porcentagem (%)</w:t>
            </w:r>
          </w:p>
        </w:tc>
      </w:tr>
      <w:tr w:rsidR="00D22BF2" w:rsidRPr="00615619" w14:paraId="4ED763A8" w14:textId="77777777" w:rsidTr="00944A0D">
        <w:tc>
          <w:tcPr>
            <w:tcW w:w="2552" w:type="dxa"/>
            <w:tcBorders>
              <w:top w:val="single" w:sz="4" w:space="0" w:color="auto"/>
            </w:tcBorders>
          </w:tcPr>
          <w:p w14:paraId="5C7C4DD8" w14:textId="77777777" w:rsidR="00D22BF2" w:rsidRPr="00615619" w:rsidRDefault="00D22BF2" w:rsidP="00EE1193">
            <w:pPr>
              <w:spacing w:line="360" w:lineRule="auto"/>
              <w:jc w:val="center"/>
              <w:rPr>
                <w:rFonts w:ascii="Arial" w:hAnsi="Arial" w:cs="Arial"/>
              </w:rPr>
            </w:pPr>
            <w:r w:rsidRPr="00615619">
              <w:rPr>
                <w:rFonts w:ascii="Arial" w:hAnsi="Arial" w:cs="Arial"/>
              </w:rPr>
              <w:t>Presença</w:t>
            </w:r>
          </w:p>
        </w:tc>
        <w:tc>
          <w:tcPr>
            <w:tcW w:w="2268" w:type="dxa"/>
            <w:tcBorders>
              <w:top w:val="single" w:sz="4" w:space="0" w:color="auto"/>
            </w:tcBorders>
          </w:tcPr>
          <w:p w14:paraId="27C33E7F" w14:textId="77777777" w:rsidR="00D22BF2" w:rsidRPr="00615619" w:rsidRDefault="00D22BF2" w:rsidP="00EE1193">
            <w:pPr>
              <w:spacing w:line="360" w:lineRule="auto"/>
              <w:jc w:val="center"/>
              <w:rPr>
                <w:rFonts w:ascii="Arial" w:hAnsi="Arial" w:cs="Arial"/>
              </w:rPr>
            </w:pPr>
            <w:r w:rsidRPr="00615619">
              <w:rPr>
                <w:rFonts w:ascii="Arial" w:hAnsi="Arial" w:cs="Arial"/>
              </w:rPr>
              <w:t>71</w:t>
            </w:r>
          </w:p>
        </w:tc>
        <w:tc>
          <w:tcPr>
            <w:tcW w:w="4252" w:type="dxa"/>
            <w:tcBorders>
              <w:top w:val="single" w:sz="4" w:space="0" w:color="auto"/>
            </w:tcBorders>
          </w:tcPr>
          <w:p w14:paraId="08415E9D" w14:textId="77777777" w:rsidR="00D22BF2" w:rsidRPr="00615619" w:rsidRDefault="00D22BF2" w:rsidP="00EE1193">
            <w:pPr>
              <w:spacing w:line="360" w:lineRule="auto"/>
              <w:jc w:val="center"/>
              <w:rPr>
                <w:rFonts w:ascii="Arial" w:hAnsi="Arial" w:cs="Arial"/>
              </w:rPr>
            </w:pPr>
            <w:r w:rsidRPr="00615619">
              <w:rPr>
                <w:rFonts w:ascii="Arial" w:hAnsi="Arial" w:cs="Arial"/>
              </w:rPr>
              <w:t>60.17</w:t>
            </w:r>
          </w:p>
        </w:tc>
      </w:tr>
      <w:tr w:rsidR="00D22BF2" w:rsidRPr="00615619" w14:paraId="5575E3EC" w14:textId="77777777" w:rsidTr="00944A0D">
        <w:trPr>
          <w:trHeight w:val="828"/>
        </w:trPr>
        <w:tc>
          <w:tcPr>
            <w:tcW w:w="2552" w:type="dxa"/>
            <w:tcBorders>
              <w:bottom w:val="single" w:sz="18" w:space="0" w:color="auto"/>
            </w:tcBorders>
          </w:tcPr>
          <w:p w14:paraId="38170DD5" w14:textId="77777777" w:rsidR="00D22BF2" w:rsidRPr="00615619" w:rsidRDefault="00D22BF2" w:rsidP="00EE1193">
            <w:pPr>
              <w:spacing w:line="360" w:lineRule="auto"/>
              <w:jc w:val="center"/>
              <w:rPr>
                <w:rFonts w:ascii="Arial" w:hAnsi="Arial" w:cs="Arial"/>
              </w:rPr>
            </w:pPr>
            <w:r w:rsidRPr="00615619">
              <w:rPr>
                <w:rFonts w:ascii="Arial" w:hAnsi="Arial" w:cs="Arial"/>
              </w:rPr>
              <w:t>Ausência</w:t>
            </w:r>
          </w:p>
          <w:p w14:paraId="677A6A23" w14:textId="77777777" w:rsidR="00D22BF2" w:rsidRPr="00615619" w:rsidRDefault="00D22BF2" w:rsidP="00EE1193">
            <w:pPr>
              <w:spacing w:line="360" w:lineRule="auto"/>
              <w:jc w:val="center"/>
              <w:rPr>
                <w:rFonts w:ascii="Arial" w:hAnsi="Arial" w:cs="Arial"/>
              </w:rPr>
            </w:pPr>
            <w:r w:rsidRPr="00615619">
              <w:rPr>
                <w:rFonts w:ascii="Arial" w:hAnsi="Arial" w:cs="Arial"/>
              </w:rPr>
              <w:t>Total</w:t>
            </w:r>
          </w:p>
        </w:tc>
        <w:tc>
          <w:tcPr>
            <w:tcW w:w="2268" w:type="dxa"/>
            <w:tcBorders>
              <w:bottom w:val="single" w:sz="18" w:space="0" w:color="auto"/>
            </w:tcBorders>
          </w:tcPr>
          <w:p w14:paraId="5E469EAC" w14:textId="77777777" w:rsidR="00D22BF2" w:rsidRPr="00615619" w:rsidRDefault="00D22BF2" w:rsidP="00EE1193">
            <w:pPr>
              <w:spacing w:line="360" w:lineRule="auto"/>
              <w:jc w:val="center"/>
              <w:rPr>
                <w:rFonts w:ascii="Arial" w:hAnsi="Arial" w:cs="Arial"/>
              </w:rPr>
            </w:pPr>
            <w:r w:rsidRPr="00615619">
              <w:rPr>
                <w:rFonts w:ascii="Arial" w:hAnsi="Arial" w:cs="Arial"/>
              </w:rPr>
              <w:t>47</w:t>
            </w:r>
          </w:p>
          <w:p w14:paraId="56422425" w14:textId="77777777" w:rsidR="00D22BF2" w:rsidRPr="00615619" w:rsidRDefault="00D22BF2" w:rsidP="00EE1193">
            <w:pPr>
              <w:spacing w:line="360" w:lineRule="auto"/>
              <w:jc w:val="center"/>
              <w:rPr>
                <w:rFonts w:ascii="Arial" w:hAnsi="Arial" w:cs="Arial"/>
              </w:rPr>
            </w:pPr>
            <w:r w:rsidRPr="00615619">
              <w:rPr>
                <w:rFonts w:ascii="Arial" w:hAnsi="Arial" w:cs="Arial"/>
              </w:rPr>
              <w:t>118</w:t>
            </w:r>
          </w:p>
        </w:tc>
        <w:tc>
          <w:tcPr>
            <w:tcW w:w="4252" w:type="dxa"/>
            <w:tcBorders>
              <w:bottom w:val="single" w:sz="18" w:space="0" w:color="auto"/>
            </w:tcBorders>
          </w:tcPr>
          <w:p w14:paraId="42717C5A" w14:textId="77777777" w:rsidR="00D22BF2" w:rsidRPr="00615619" w:rsidRDefault="00D22BF2" w:rsidP="00EE1193">
            <w:pPr>
              <w:spacing w:line="360" w:lineRule="auto"/>
              <w:jc w:val="center"/>
              <w:rPr>
                <w:rFonts w:ascii="Arial" w:hAnsi="Arial" w:cs="Arial"/>
              </w:rPr>
            </w:pPr>
            <w:r w:rsidRPr="00615619">
              <w:rPr>
                <w:rFonts w:ascii="Arial" w:hAnsi="Arial" w:cs="Arial"/>
              </w:rPr>
              <w:t>38.83</w:t>
            </w:r>
          </w:p>
          <w:p w14:paraId="16BC6B87" w14:textId="77777777" w:rsidR="00D22BF2" w:rsidRPr="00615619" w:rsidRDefault="00D22BF2" w:rsidP="00EE1193">
            <w:pPr>
              <w:spacing w:line="360" w:lineRule="auto"/>
              <w:jc w:val="center"/>
              <w:rPr>
                <w:rFonts w:ascii="Arial" w:hAnsi="Arial" w:cs="Arial"/>
              </w:rPr>
            </w:pPr>
            <w:r w:rsidRPr="00615619">
              <w:rPr>
                <w:rFonts w:ascii="Arial" w:hAnsi="Arial" w:cs="Arial"/>
              </w:rPr>
              <w:t>100</w:t>
            </w:r>
          </w:p>
        </w:tc>
      </w:tr>
      <w:tr w:rsidR="00D22BF2" w:rsidRPr="00615619" w14:paraId="742D269B" w14:textId="77777777" w:rsidTr="00944A0D">
        <w:tc>
          <w:tcPr>
            <w:tcW w:w="2552" w:type="dxa"/>
            <w:tcBorders>
              <w:top w:val="single" w:sz="18" w:space="0" w:color="auto"/>
              <w:bottom w:val="single" w:sz="4" w:space="0" w:color="auto"/>
            </w:tcBorders>
          </w:tcPr>
          <w:p w14:paraId="26B5B252" w14:textId="77777777" w:rsidR="00D22BF2" w:rsidRPr="00615619" w:rsidRDefault="00D22BF2" w:rsidP="00EE1193">
            <w:pPr>
              <w:spacing w:line="360" w:lineRule="auto"/>
              <w:jc w:val="center"/>
              <w:rPr>
                <w:rFonts w:ascii="Arial" w:hAnsi="Arial" w:cs="Arial"/>
              </w:rPr>
            </w:pPr>
            <w:r w:rsidRPr="00615619">
              <w:rPr>
                <w:rFonts w:ascii="Arial" w:hAnsi="Arial" w:cs="Arial"/>
              </w:rPr>
              <w:t>Lado do desvio de septo nasal</w:t>
            </w:r>
          </w:p>
        </w:tc>
        <w:tc>
          <w:tcPr>
            <w:tcW w:w="2268" w:type="dxa"/>
            <w:tcBorders>
              <w:top w:val="single" w:sz="18" w:space="0" w:color="auto"/>
              <w:bottom w:val="single" w:sz="4" w:space="0" w:color="auto"/>
            </w:tcBorders>
          </w:tcPr>
          <w:p w14:paraId="2386C89C" w14:textId="77777777" w:rsidR="00D22BF2" w:rsidRPr="00615619" w:rsidRDefault="00D22BF2" w:rsidP="00EE1193">
            <w:pPr>
              <w:spacing w:line="360" w:lineRule="auto"/>
              <w:jc w:val="center"/>
              <w:rPr>
                <w:rFonts w:ascii="Arial" w:hAnsi="Arial" w:cs="Arial"/>
              </w:rPr>
            </w:pPr>
            <w:r w:rsidRPr="00615619">
              <w:rPr>
                <w:rFonts w:ascii="Arial" w:hAnsi="Arial" w:cs="Arial"/>
              </w:rPr>
              <w:t>Frequências</w:t>
            </w:r>
          </w:p>
        </w:tc>
        <w:tc>
          <w:tcPr>
            <w:tcW w:w="4252" w:type="dxa"/>
            <w:tcBorders>
              <w:top w:val="single" w:sz="18" w:space="0" w:color="auto"/>
              <w:bottom w:val="single" w:sz="4" w:space="0" w:color="auto"/>
            </w:tcBorders>
          </w:tcPr>
          <w:p w14:paraId="04CAD3D4" w14:textId="77777777" w:rsidR="00D22BF2" w:rsidRPr="00615619" w:rsidRDefault="00D22BF2" w:rsidP="00EE1193">
            <w:pPr>
              <w:spacing w:line="360" w:lineRule="auto"/>
              <w:jc w:val="center"/>
              <w:rPr>
                <w:rFonts w:ascii="Arial" w:hAnsi="Arial" w:cs="Arial"/>
              </w:rPr>
            </w:pPr>
            <w:r w:rsidRPr="00615619">
              <w:rPr>
                <w:rFonts w:ascii="Arial" w:hAnsi="Arial" w:cs="Arial"/>
              </w:rPr>
              <w:t>Porcentagem (%)</w:t>
            </w:r>
          </w:p>
        </w:tc>
      </w:tr>
      <w:tr w:rsidR="00D22BF2" w:rsidRPr="00615619" w14:paraId="3347FE4E" w14:textId="77777777" w:rsidTr="00944A0D">
        <w:trPr>
          <w:trHeight w:val="1286"/>
        </w:trPr>
        <w:tc>
          <w:tcPr>
            <w:tcW w:w="2552" w:type="dxa"/>
            <w:tcBorders>
              <w:top w:val="single" w:sz="4" w:space="0" w:color="auto"/>
              <w:bottom w:val="single" w:sz="18" w:space="0" w:color="auto"/>
            </w:tcBorders>
          </w:tcPr>
          <w:p w14:paraId="032F0A2A" w14:textId="77777777" w:rsidR="00D22BF2" w:rsidRPr="00615619" w:rsidRDefault="00D22BF2" w:rsidP="00EE1193">
            <w:pPr>
              <w:spacing w:line="360" w:lineRule="auto"/>
              <w:jc w:val="center"/>
              <w:rPr>
                <w:rFonts w:ascii="Arial" w:hAnsi="Arial" w:cs="Arial"/>
              </w:rPr>
            </w:pPr>
            <w:r w:rsidRPr="00615619">
              <w:rPr>
                <w:rFonts w:ascii="Arial" w:hAnsi="Arial" w:cs="Arial"/>
              </w:rPr>
              <w:t>Direito</w:t>
            </w:r>
          </w:p>
          <w:p w14:paraId="3EA5987E" w14:textId="7D35EF85" w:rsidR="00D30EB2" w:rsidRDefault="00D22BF2" w:rsidP="00EE1193">
            <w:pPr>
              <w:spacing w:line="360" w:lineRule="auto"/>
              <w:jc w:val="center"/>
              <w:rPr>
                <w:rFonts w:ascii="Arial" w:hAnsi="Arial" w:cs="Arial"/>
              </w:rPr>
            </w:pPr>
            <w:r w:rsidRPr="00615619">
              <w:rPr>
                <w:rFonts w:ascii="Arial" w:hAnsi="Arial" w:cs="Arial"/>
              </w:rPr>
              <w:t>Esquerdo</w:t>
            </w:r>
          </w:p>
          <w:p w14:paraId="1932C618" w14:textId="4BE63519" w:rsidR="00D22BF2" w:rsidRPr="00D30EB2" w:rsidRDefault="00D30EB2" w:rsidP="00D30EB2">
            <w:pPr>
              <w:jc w:val="center"/>
              <w:rPr>
                <w:rFonts w:ascii="Arial" w:hAnsi="Arial" w:cs="Arial"/>
                <w:lang w:val="en-US"/>
              </w:rPr>
            </w:pPr>
            <w:r>
              <w:rPr>
                <w:rFonts w:ascii="Arial" w:hAnsi="Arial" w:cs="Arial"/>
                <w:lang w:val="en-US"/>
              </w:rPr>
              <w:t>Total</w:t>
            </w:r>
          </w:p>
        </w:tc>
        <w:tc>
          <w:tcPr>
            <w:tcW w:w="2268" w:type="dxa"/>
            <w:tcBorders>
              <w:top w:val="single" w:sz="4" w:space="0" w:color="auto"/>
              <w:bottom w:val="single" w:sz="18" w:space="0" w:color="auto"/>
            </w:tcBorders>
          </w:tcPr>
          <w:p w14:paraId="71D7EC32" w14:textId="77777777" w:rsidR="00D22BF2" w:rsidRPr="00615619" w:rsidRDefault="00D22BF2" w:rsidP="00EE1193">
            <w:pPr>
              <w:spacing w:line="360" w:lineRule="auto"/>
              <w:jc w:val="center"/>
              <w:rPr>
                <w:rFonts w:ascii="Arial" w:hAnsi="Arial" w:cs="Arial"/>
              </w:rPr>
            </w:pPr>
            <w:r w:rsidRPr="00615619">
              <w:rPr>
                <w:rFonts w:ascii="Arial" w:hAnsi="Arial" w:cs="Arial"/>
              </w:rPr>
              <w:t>35</w:t>
            </w:r>
          </w:p>
          <w:p w14:paraId="038D2384" w14:textId="77777777" w:rsidR="00D22BF2" w:rsidRPr="00615619" w:rsidRDefault="00D22BF2" w:rsidP="00EE1193">
            <w:pPr>
              <w:spacing w:line="360" w:lineRule="auto"/>
              <w:jc w:val="center"/>
              <w:rPr>
                <w:rFonts w:ascii="Arial" w:hAnsi="Arial" w:cs="Arial"/>
              </w:rPr>
            </w:pPr>
            <w:r w:rsidRPr="00615619">
              <w:rPr>
                <w:rFonts w:ascii="Arial" w:hAnsi="Arial" w:cs="Arial"/>
              </w:rPr>
              <w:t>36</w:t>
            </w:r>
          </w:p>
          <w:p w14:paraId="5898416A" w14:textId="77777777" w:rsidR="00D22BF2" w:rsidRPr="00615619" w:rsidRDefault="00D22BF2" w:rsidP="00EE1193">
            <w:pPr>
              <w:spacing w:line="360" w:lineRule="auto"/>
              <w:jc w:val="center"/>
              <w:rPr>
                <w:rFonts w:ascii="Arial" w:hAnsi="Arial" w:cs="Arial"/>
              </w:rPr>
            </w:pPr>
            <w:r w:rsidRPr="00615619">
              <w:rPr>
                <w:rFonts w:ascii="Arial" w:hAnsi="Arial" w:cs="Arial"/>
              </w:rPr>
              <w:t>71</w:t>
            </w:r>
          </w:p>
        </w:tc>
        <w:tc>
          <w:tcPr>
            <w:tcW w:w="4252" w:type="dxa"/>
            <w:tcBorders>
              <w:top w:val="single" w:sz="4" w:space="0" w:color="auto"/>
              <w:bottom w:val="single" w:sz="18" w:space="0" w:color="auto"/>
            </w:tcBorders>
          </w:tcPr>
          <w:p w14:paraId="64125DC4" w14:textId="77777777" w:rsidR="00D22BF2" w:rsidRPr="00615619" w:rsidRDefault="00D22BF2" w:rsidP="00EE1193">
            <w:pPr>
              <w:spacing w:line="360" w:lineRule="auto"/>
              <w:jc w:val="center"/>
              <w:rPr>
                <w:rFonts w:ascii="Arial" w:hAnsi="Arial" w:cs="Arial"/>
              </w:rPr>
            </w:pPr>
            <w:r w:rsidRPr="00615619">
              <w:rPr>
                <w:rFonts w:ascii="Arial" w:hAnsi="Arial" w:cs="Arial"/>
              </w:rPr>
              <w:t>49.3</w:t>
            </w:r>
          </w:p>
          <w:p w14:paraId="2FA41560" w14:textId="77777777" w:rsidR="00D22BF2" w:rsidRPr="00615619" w:rsidRDefault="00D22BF2" w:rsidP="00EE1193">
            <w:pPr>
              <w:spacing w:line="360" w:lineRule="auto"/>
              <w:jc w:val="center"/>
              <w:rPr>
                <w:rFonts w:ascii="Arial" w:hAnsi="Arial" w:cs="Arial"/>
              </w:rPr>
            </w:pPr>
            <w:r w:rsidRPr="00615619">
              <w:rPr>
                <w:rFonts w:ascii="Arial" w:hAnsi="Arial" w:cs="Arial"/>
              </w:rPr>
              <w:t>50.7</w:t>
            </w:r>
          </w:p>
          <w:p w14:paraId="44D4D04D" w14:textId="77777777" w:rsidR="00D22BF2" w:rsidRPr="00615619" w:rsidRDefault="00D22BF2" w:rsidP="00EE1193">
            <w:pPr>
              <w:spacing w:line="360" w:lineRule="auto"/>
              <w:jc w:val="center"/>
              <w:rPr>
                <w:rFonts w:ascii="Arial" w:hAnsi="Arial" w:cs="Arial"/>
              </w:rPr>
            </w:pPr>
            <w:r w:rsidRPr="00615619">
              <w:rPr>
                <w:rFonts w:ascii="Arial" w:hAnsi="Arial" w:cs="Arial"/>
              </w:rPr>
              <w:t>100</w:t>
            </w:r>
          </w:p>
        </w:tc>
      </w:tr>
    </w:tbl>
    <w:p w14:paraId="4ADE9093" w14:textId="77777777" w:rsidR="00022469" w:rsidRPr="003125E9" w:rsidRDefault="00022469" w:rsidP="004F7954">
      <w:pPr>
        <w:autoSpaceDE w:val="0"/>
        <w:autoSpaceDN w:val="0"/>
        <w:adjustRightInd w:val="0"/>
        <w:spacing w:line="480" w:lineRule="auto"/>
        <w:jc w:val="both"/>
        <w:rPr>
          <w:b/>
        </w:rPr>
      </w:pPr>
    </w:p>
    <w:p w14:paraId="651BC58B" w14:textId="609DD777" w:rsidR="00022469" w:rsidRPr="00022469" w:rsidRDefault="00997E62" w:rsidP="00022469">
      <w:pPr>
        <w:autoSpaceDE w:val="0"/>
        <w:autoSpaceDN w:val="0"/>
        <w:adjustRightInd w:val="0"/>
        <w:spacing w:line="480" w:lineRule="auto"/>
        <w:ind w:firstLine="720"/>
        <w:jc w:val="both"/>
      </w:pPr>
      <w:r>
        <w:t>As frequências da concha média bolhosa, bem como, entre os casos em que ocorria, do lado afetado estão evidenciadas na Tabela 3.</w:t>
      </w:r>
    </w:p>
    <w:p w14:paraId="78114F2F" w14:textId="73DB4284" w:rsidR="004F7954" w:rsidRPr="00022469" w:rsidRDefault="004F7954" w:rsidP="00022469">
      <w:pPr>
        <w:autoSpaceDE w:val="0"/>
        <w:autoSpaceDN w:val="0"/>
        <w:adjustRightInd w:val="0"/>
        <w:spacing w:line="480" w:lineRule="auto"/>
        <w:jc w:val="both"/>
        <w:rPr>
          <w:b/>
        </w:rPr>
      </w:pPr>
      <w:r w:rsidRPr="004F7954">
        <w:t xml:space="preserve">Tabela </w:t>
      </w:r>
      <w:r w:rsidR="00022469">
        <w:t>3</w:t>
      </w:r>
      <w:r w:rsidRPr="004F7954">
        <w:t xml:space="preserve"> – Fr</w:t>
      </w:r>
      <w:r w:rsidR="00997E62">
        <w:t>equência da concha mé</w:t>
      </w:r>
      <w:r w:rsidRPr="004F7954">
        <w:t>dia bolhosa na amostra estudada</w:t>
      </w:r>
      <w:r w:rsidR="00944A0D">
        <w:t xml:space="preserve"> e </w:t>
      </w:r>
      <w:r w:rsidR="00997E62">
        <w:t xml:space="preserve">sua </w:t>
      </w:r>
      <w:r w:rsidR="00944A0D">
        <w:t>distribuição</w:t>
      </w:r>
      <w:r w:rsidR="00997E62">
        <w:t xml:space="preserve"> </w:t>
      </w:r>
      <w:r w:rsidR="00944A0D">
        <w:t>– uni ou bilateral – dentro dos indivíduos que a apresentavam.</w:t>
      </w:r>
    </w:p>
    <w:tbl>
      <w:tblPr>
        <w:tblStyle w:val="TableGrid"/>
        <w:tblW w:w="9072"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268"/>
        <w:gridCol w:w="4252"/>
      </w:tblGrid>
      <w:tr w:rsidR="00944A0D" w:rsidRPr="00993AA2" w14:paraId="48B02597" w14:textId="77777777" w:rsidTr="00944A0D">
        <w:tc>
          <w:tcPr>
            <w:tcW w:w="2552" w:type="dxa"/>
            <w:tcBorders>
              <w:top w:val="single" w:sz="18" w:space="0" w:color="auto"/>
              <w:bottom w:val="single" w:sz="4" w:space="0" w:color="auto"/>
            </w:tcBorders>
          </w:tcPr>
          <w:p w14:paraId="3E6C4307" w14:textId="77777777" w:rsidR="00944A0D" w:rsidRPr="00993AA2" w:rsidRDefault="00944A0D" w:rsidP="00A43DE2">
            <w:pPr>
              <w:spacing w:line="360" w:lineRule="auto"/>
              <w:jc w:val="center"/>
              <w:rPr>
                <w:rFonts w:ascii="Arial" w:hAnsi="Arial" w:cs="Arial"/>
              </w:rPr>
            </w:pPr>
            <w:r w:rsidRPr="00993AA2">
              <w:rPr>
                <w:rFonts w:ascii="Arial" w:hAnsi="Arial" w:cs="Arial"/>
              </w:rPr>
              <w:t>Concha média bolhosa</w:t>
            </w:r>
          </w:p>
        </w:tc>
        <w:tc>
          <w:tcPr>
            <w:tcW w:w="2268" w:type="dxa"/>
            <w:tcBorders>
              <w:top w:val="single" w:sz="18" w:space="0" w:color="auto"/>
              <w:bottom w:val="single" w:sz="4" w:space="0" w:color="auto"/>
            </w:tcBorders>
          </w:tcPr>
          <w:p w14:paraId="5A544672" w14:textId="77777777" w:rsidR="00944A0D" w:rsidRPr="00993AA2" w:rsidRDefault="00944A0D" w:rsidP="00A43DE2">
            <w:pPr>
              <w:spacing w:line="360" w:lineRule="auto"/>
              <w:jc w:val="center"/>
              <w:rPr>
                <w:rFonts w:ascii="Arial" w:hAnsi="Arial" w:cs="Arial"/>
              </w:rPr>
            </w:pPr>
            <w:r w:rsidRPr="00993AA2">
              <w:rPr>
                <w:rFonts w:ascii="Arial" w:hAnsi="Arial" w:cs="Arial"/>
              </w:rPr>
              <w:t>Frequências</w:t>
            </w:r>
          </w:p>
        </w:tc>
        <w:tc>
          <w:tcPr>
            <w:tcW w:w="4252" w:type="dxa"/>
            <w:tcBorders>
              <w:top w:val="single" w:sz="18" w:space="0" w:color="auto"/>
              <w:bottom w:val="single" w:sz="4" w:space="0" w:color="auto"/>
            </w:tcBorders>
          </w:tcPr>
          <w:p w14:paraId="6E1F7A9F" w14:textId="77777777" w:rsidR="00944A0D" w:rsidRPr="00993AA2" w:rsidRDefault="00944A0D" w:rsidP="00A43DE2">
            <w:pPr>
              <w:spacing w:line="360" w:lineRule="auto"/>
              <w:jc w:val="center"/>
              <w:rPr>
                <w:rFonts w:ascii="Arial" w:hAnsi="Arial" w:cs="Arial"/>
              </w:rPr>
            </w:pPr>
            <w:r w:rsidRPr="00993AA2">
              <w:rPr>
                <w:rFonts w:ascii="Arial" w:hAnsi="Arial" w:cs="Arial"/>
              </w:rPr>
              <w:t>Porcentagem (%)</w:t>
            </w:r>
          </w:p>
        </w:tc>
      </w:tr>
      <w:tr w:rsidR="00944A0D" w:rsidRPr="00993AA2" w14:paraId="1F3E19FD" w14:textId="77777777" w:rsidTr="00944A0D">
        <w:tc>
          <w:tcPr>
            <w:tcW w:w="2552" w:type="dxa"/>
            <w:tcBorders>
              <w:top w:val="single" w:sz="4" w:space="0" w:color="auto"/>
            </w:tcBorders>
          </w:tcPr>
          <w:p w14:paraId="289EE733" w14:textId="77777777" w:rsidR="00944A0D" w:rsidRPr="00993AA2" w:rsidRDefault="00944A0D" w:rsidP="00A43DE2">
            <w:pPr>
              <w:spacing w:line="360" w:lineRule="auto"/>
              <w:jc w:val="center"/>
              <w:rPr>
                <w:rFonts w:ascii="Arial" w:hAnsi="Arial" w:cs="Arial"/>
              </w:rPr>
            </w:pPr>
            <w:r w:rsidRPr="00993AA2">
              <w:rPr>
                <w:rFonts w:ascii="Arial" w:hAnsi="Arial" w:cs="Arial"/>
              </w:rPr>
              <w:t>Presença</w:t>
            </w:r>
          </w:p>
        </w:tc>
        <w:tc>
          <w:tcPr>
            <w:tcW w:w="2268" w:type="dxa"/>
            <w:tcBorders>
              <w:top w:val="single" w:sz="4" w:space="0" w:color="auto"/>
            </w:tcBorders>
          </w:tcPr>
          <w:p w14:paraId="73186518" w14:textId="77777777" w:rsidR="00944A0D" w:rsidRPr="00993AA2" w:rsidRDefault="00944A0D" w:rsidP="00A43DE2">
            <w:pPr>
              <w:spacing w:line="360" w:lineRule="auto"/>
              <w:jc w:val="center"/>
              <w:rPr>
                <w:rFonts w:ascii="Arial" w:hAnsi="Arial" w:cs="Arial"/>
              </w:rPr>
            </w:pPr>
            <w:r w:rsidRPr="00993AA2">
              <w:rPr>
                <w:rFonts w:ascii="Arial" w:hAnsi="Arial" w:cs="Arial"/>
              </w:rPr>
              <w:t>62</w:t>
            </w:r>
          </w:p>
        </w:tc>
        <w:tc>
          <w:tcPr>
            <w:tcW w:w="4252" w:type="dxa"/>
            <w:tcBorders>
              <w:top w:val="single" w:sz="4" w:space="0" w:color="auto"/>
            </w:tcBorders>
          </w:tcPr>
          <w:p w14:paraId="09EB3432" w14:textId="77777777" w:rsidR="00944A0D" w:rsidRPr="00993AA2" w:rsidRDefault="00944A0D" w:rsidP="00A43DE2">
            <w:pPr>
              <w:spacing w:line="360" w:lineRule="auto"/>
              <w:jc w:val="center"/>
              <w:rPr>
                <w:rFonts w:ascii="Arial" w:hAnsi="Arial" w:cs="Arial"/>
              </w:rPr>
            </w:pPr>
            <w:r w:rsidRPr="00993AA2">
              <w:rPr>
                <w:rFonts w:ascii="Arial" w:hAnsi="Arial" w:cs="Arial"/>
              </w:rPr>
              <w:t>52.55</w:t>
            </w:r>
          </w:p>
        </w:tc>
      </w:tr>
      <w:tr w:rsidR="00944A0D" w:rsidRPr="00993AA2" w14:paraId="2A42BD67" w14:textId="77777777" w:rsidTr="00944A0D">
        <w:trPr>
          <w:trHeight w:val="828"/>
        </w:trPr>
        <w:tc>
          <w:tcPr>
            <w:tcW w:w="2552" w:type="dxa"/>
            <w:tcBorders>
              <w:bottom w:val="single" w:sz="18" w:space="0" w:color="auto"/>
            </w:tcBorders>
          </w:tcPr>
          <w:p w14:paraId="2C77BEC0" w14:textId="77777777" w:rsidR="00944A0D" w:rsidRPr="00993AA2" w:rsidRDefault="00944A0D" w:rsidP="00A43DE2">
            <w:pPr>
              <w:spacing w:line="360" w:lineRule="auto"/>
              <w:jc w:val="center"/>
              <w:rPr>
                <w:rFonts w:ascii="Arial" w:hAnsi="Arial" w:cs="Arial"/>
              </w:rPr>
            </w:pPr>
            <w:r w:rsidRPr="00993AA2">
              <w:rPr>
                <w:rFonts w:ascii="Arial" w:hAnsi="Arial" w:cs="Arial"/>
              </w:rPr>
              <w:t>Ausência</w:t>
            </w:r>
          </w:p>
          <w:p w14:paraId="08DD9C4D" w14:textId="77777777" w:rsidR="00944A0D" w:rsidRPr="00993AA2" w:rsidRDefault="00944A0D" w:rsidP="00A43DE2">
            <w:pPr>
              <w:spacing w:line="360" w:lineRule="auto"/>
              <w:jc w:val="center"/>
              <w:rPr>
                <w:rFonts w:ascii="Arial" w:hAnsi="Arial" w:cs="Arial"/>
              </w:rPr>
            </w:pPr>
            <w:r w:rsidRPr="00993AA2">
              <w:rPr>
                <w:rFonts w:ascii="Arial" w:hAnsi="Arial" w:cs="Arial"/>
              </w:rPr>
              <w:t>Total</w:t>
            </w:r>
          </w:p>
        </w:tc>
        <w:tc>
          <w:tcPr>
            <w:tcW w:w="2268" w:type="dxa"/>
            <w:tcBorders>
              <w:bottom w:val="single" w:sz="18" w:space="0" w:color="auto"/>
            </w:tcBorders>
          </w:tcPr>
          <w:p w14:paraId="38C1F391" w14:textId="77777777" w:rsidR="00944A0D" w:rsidRPr="00993AA2" w:rsidRDefault="00944A0D" w:rsidP="00A43DE2">
            <w:pPr>
              <w:spacing w:line="360" w:lineRule="auto"/>
              <w:jc w:val="center"/>
              <w:rPr>
                <w:rFonts w:ascii="Arial" w:hAnsi="Arial" w:cs="Arial"/>
              </w:rPr>
            </w:pPr>
            <w:r w:rsidRPr="00993AA2">
              <w:rPr>
                <w:rFonts w:ascii="Arial" w:hAnsi="Arial" w:cs="Arial"/>
              </w:rPr>
              <w:t>56</w:t>
            </w:r>
          </w:p>
          <w:p w14:paraId="03A9C0FF" w14:textId="77777777" w:rsidR="00944A0D" w:rsidRPr="00993AA2" w:rsidRDefault="00944A0D" w:rsidP="00A43DE2">
            <w:pPr>
              <w:spacing w:line="360" w:lineRule="auto"/>
              <w:jc w:val="center"/>
              <w:rPr>
                <w:rFonts w:ascii="Arial" w:hAnsi="Arial" w:cs="Arial"/>
              </w:rPr>
            </w:pPr>
            <w:r w:rsidRPr="00993AA2">
              <w:rPr>
                <w:rFonts w:ascii="Arial" w:hAnsi="Arial" w:cs="Arial"/>
              </w:rPr>
              <w:t>118</w:t>
            </w:r>
          </w:p>
        </w:tc>
        <w:tc>
          <w:tcPr>
            <w:tcW w:w="4252" w:type="dxa"/>
            <w:tcBorders>
              <w:bottom w:val="single" w:sz="18" w:space="0" w:color="auto"/>
            </w:tcBorders>
          </w:tcPr>
          <w:p w14:paraId="225D9669" w14:textId="77777777" w:rsidR="00944A0D" w:rsidRPr="00993AA2" w:rsidRDefault="00944A0D" w:rsidP="00A43DE2">
            <w:pPr>
              <w:spacing w:line="360" w:lineRule="auto"/>
              <w:jc w:val="center"/>
              <w:rPr>
                <w:rFonts w:ascii="Arial" w:hAnsi="Arial" w:cs="Arial"/>
              </w:rPr>
            </w:pPr>
            <w:r w:rsidRPr="00993AA2">
              <w:rPr>
                <w:rFonts w:ascii="Arial" w:hAnsi="Arial" w:cs="Arial"/>
              </w:rPr>
              <w:t>47.45</w:t>
            </w:r>
          </w:p>
          <w:p w14:paraId="7B5FEE37" w14:textId="77777777" w:rsidR="00944A0D" w:rsidRPr="00993AA2" w:rsidRDefault="00944A0D" w:rsidP="00A43DE2">
            <w:pPr>
              <w:spacing w:line="360" w:lineRule="auto"/>
              <w:jc w:val="center"/>
              <w:rPr>
                <w:rFonts w:ascii="Arial" w:hAnsi="Arial" w:cs="Arial"/>
              </w:rPr>
            </w:pPr>
            <w:r w:rsidRPr="00993AA2">
              <w:rPr>
                <w:rFonts w:ascii="Arial" w:hAnsi="Arial" w:cs="Arial"/>
              </w:rPr>
              <w:t>100</w:t>
            </w:r>
          </w:p>
        </w:tc>
      </w:tr>
      <w:tr w:rsidR="00944A0D" w:rsidRPr="00993AA2" w14:paraId="32886CDD" w14:textId="77777777" w:rsidTr="00944A0D">
        <w:tc>
          <w:tcPr>
            <w:tcW w:w="2552" w:type="dxa"/>
            <w:tcBorders>
              <w:top w:val="single" w:sz="18" w:space="0" w:color="auto"/>
              <w:bottom w:val="single" w:sz="4" w:space="0" w:color="auto"/>
            </w:tcBorders>
          </w:tcPr>
          <w:p w14:paraId="5D68D0FD" w14:textId="77777777" w:rsidR="00944A0D" w:rsidRPr="00993AA2" w:rsidRDefault="00944A0D" w:rsidP="00A43DE2">
            <w:pPr>
              <w:spacing w:line="360" w:lineRule="auto"/>
              <w:jc w:val="center"/>
              <w:rPr>
                <w:rFonts w:ascii="Arial" w:hAnsi="Arial" w:cs="Arial"/>
              </w:rPr>
            </w:pPr>
            <w:r w:rsidRPr="00993AA2">
              <w:rPr>
                <w:rFonts w:ascii="Arial" w:hAnsi="Arial" w:cs="Arial"/>
              </w:rPr>
              <w:t>Concha média bolhosa</w:t>
            </w:r>
          </w:p>
        </w:tc>
        <w:tc>
          <w:tcPr>
            <w:tcW w:w="2268" w:type="dxa"/>
            <w:tcBorders>
              <w:top w:val="single" w:sz="18" w:space="0" w:color="auto"/>
              <w:bottom w:val="single" w:sz="4" w:space="0" w:color="auto"/>
            </w:tcBorders>
          </w:tcPr>
          <w:p w14:paraId="19265912" w14:textId="77777777" w:rsidR="00944A0D" w:rsidRPr="00993AA2" w:rsidRDefault="00944A0D" w:rsidP="00A43DE2">
            <w:pPr>
              <w:spacing w:line="360" w:lineRule="auto"/>
              <w:jc w:val="center"/>
              <w:rPr>
                <w:rFonts w:ascii="Arial" w:hAnsi="Arial" w:cs="Arial"/>
              </w:rPr>
            </w:pPr>
            <w:r w:rsidRPr="00993AA2">
              <w:rPr>
                <w:rFonts w:ascii="Arial" w:hAnsi="Arial" w:cs="Arial"/>
              </w:rPr>
              <w:t>Frequências</w:t>
            </w:r>
          </w:p>
        </w:tc>
        <w:tc>
          <w:tcPr>
            <w:tcW w:w="4252" w:type="dxa"/>
            <w:tcBorders>
              <w:top w:val="single" w:sz="18" w:space="0" w:color="auto"/>
              <w:bottom w:val="single" w:sz="4" w:space="0" w:color="auto"/>
            </w:tcBorders>
          </w:tcPr>
          <w:p w14:paraId="6F33D53D" w14:textId="77777777" w:rsidR="00944A0D" w:rsidRPr="00993AA2" w:rsidRDefault="00944A0D" w:rsidP="00A43DE2">
            <w:pPr>
              <w:spacing w:line="360" w:lineRule="auto"/>
              <w:jc w:val="center"/>
              <w:rPr>
                <w:rFonts w:ascii="Arial" w:hAnsi="Arial" w:cs="Arial"/>
              </w:rPr>
            </w:pPr>
            <w:r w:rsidRPr="00993AA2">
              <w:rPr>
                <w:rFonts w:ascii="Arial" w:hAnsi="Arial" w:cs="Arial"/>
              </w:rPr>
              <w:t>Porcentagem (%)</w:t>
            </w:r>
          </w:p>
        </w:tc>
      </w:tr>
      <w:tr w:rsidR="00944A0D" w:rsidRPr="00993AA2" w14:paraId="44DA93F9" w14:textId="77777777" w:rsidTr="00944A0D">
        <w:trPr>
          <w:trHeight w:val="1262"/>
        </w:trPr>
        <w:tc>
          <w:tcPr>
            <w:tcW w:w="2552" w:type="dxa"/>
            <w:tcBorders>
              <w:top w:val="single" w:sz="4" w:space="0" w:color="auto"/>
              <w:bottom w:val="single" w:sz="18" w:space="0" w:color="auto"/>
            </w:tcBorders>
          </w:tcPr>
          <w:p w14:paraId="36C51CBF" w14:textId="77777777" w:rsidR="00944A0D" w:rsidRPr="00993AA2" w:rsidRDefault="00944A0D" w:rsidP="00A43DE2">
            <w:pPr>
              <w:spacing w:line="360" w:lineRule="auto"/>
              <w:jc w:val="center"/>
              <w:rPr>
                <w:rFonts w:ascii="Arial" w:hAnsi="Arial" w:cs="Arial"/>
              </w:rPr>
            </w:pPr>
            <w:r w:rsidRPr="00993AA2">
              <w:rPr>
                <w:rFonts w:ascii="Arial" w:hAnsi="Arial" w:cs="Arial"/>
              </w:rPr>
              <w:t>Unilateral</w:t>
            </w:r>
          </w:p>
          <w:p w14:paraId="42ECA9A6" w14:textId="77777777" w:rsidR="00944A0D" w:rsidRPr="00993AA2" w:rsidRDefault="00944A0D" w:rsidP="00A43DE2">
            <w:pPr>
              <w:spacing w:line="360" w:lineRule="auto"/>
              <w:jc w:val="center"/>
              <w:rPr>
                <w:rFonts w:ascii="Arial" w:hAnsi="Arial" w:cs="Arial"/>
              </w:rPr>
            </w:pPr>
            <w:r w:rsidRPr="00993AA2">
              <w:rPr>
                <w:rFonts w:ascii="Arial" w:hAnsi="Arial" w:cs="Arial"/>
              </w:rPr>
              <w:t>Bilateral</w:t>
            </w:r>
          </w:p>
          <w:p w14:paraId="0C350C1E" w14:textId="77777777" w:rsidR="00944A0D" w:rsidRPr="00993AA2" w:rsidRDefault="00944A0D" w:rsidP="00A43DE2">
            <w:pPr>
              <w:spacing w:line="360" w:lineRule="auto"/>
              <w:jc w:val="center"/>
              <w:rPr>
                <w:rFonts w:ascii="Arial" w:hAnsi="Arial" w:cs="Arial"/>
              </w:rPr>
            </w:pPr>
            <w:r w:rsidRPr="00993AA2">
              <w:rPr>
                <w:rFonts w:ascii="Arial" w:hAnsi="Arial" w:cs="Arial"/>
              </w:rPr>
              <w:t>Total</w:t>
            </w:r>
          </w:p>
        </w:tc>
        <w:tc>
          <w:tcPr>
            <w:tcW w:w="2268" w:type="dxa"/>
            <w:tcBorders>
              <w:top w:val="single" w:sz="4" w:space="0" w:color="auto"/>
              <w:bottom w:val="single" w:sz="18" w:space="0" w:color="auto"/>
            </w:tcBorders>
          </w:tcPr>
          <w:p w14:paraId="6A1E80F6" w14:textId="77777777" w:rsidR="00944A0D" w:rsidRPr="00993AA2" w:rsidRDefault="00944A0D" w:rsidP="00A43DE2">
            <w:pPr>
              <w:spacing w:line="360" w:lineRule="auto"/>
              <w:jc w:val="center"/>
              <w:rPr>
                <w:rFonts w:ascii="Arial" w:hAnsi="Arial" w:cs="Arial"/>
              </w:rPr>
            </w:pPr>
            <w:r w:rsidRPr="00993AA2">
              <w:rPr>
                <w:rFonts w:ascii="Arial" w:hAnsi="Arial" w:cs="Arial"/>
              </w:rPr>
              <w:t>41</w:t>
            </w:r>
          </w:p>
          <w:p w14:paraId="2F4641B3" w14:textId="77777777" w:rsidR="00944A0D" w:rsidRPr="00993AA2" w:rsidRDefault="00944A0D" w:rsidP="00A43DE2">
            <w:pPr>
              <w:spacing w:line="360" w:lineRule="auto"/>
              <w:jc w:val="center"/>
              <w:rPr>
                <w:rFonts w:ascii="Arial" w:hAnsi="Arial" w:cs="Arial"/>
              </w:rPr>
            </w:pPr>
            <w:r w:rsidRPr="00993AA2">
              <w:rPr>
                <w:rFonts w:ascii="Arial" w:hAnsi="Arial" w:cs="Arial"/>
              </w:rPr>
              <w:t>21</w:t>
            </w:r>
          </w:p>
          <w:p w14:paraId="35532BD2" w14:textId="77777777" w:rsidR="00944A0D" w:rsidRPr="00993AA2" w:rsidRDefault="00944A0D" w:rsidP="00A43DE2">
            <w:pPr>
              <w:spacing w:line="360" w:lineRule="auto"/>
              <w:jc w:val="center"/>
              <w:rPr>
                <w:rFonts w:ascii="Arial" w:hAnsi="Arial" w:cs="Arial"/>
              </w:rPr>
            </w:pPr>
            <w:r w:rsidRPr="00993AA2">
              <w:rPr>
                <w:rFonts w:ascii="Arial" w:hAnsi="Arial" w:cs="Arial"/>
              </w:rPr>
              <w:t>62</w:t>
            </w:r>
          </w:p>
        </w:tc>
        <w:tc>
          <w:tcPr>
            <w:tcW w:w="4252" w:type="dxa"/>
            <w:tcBorders>
              <w:top w:val="single" w:sz="4" w:space="0" w:color="auto"/>
              <w:bottom w:val="single" w:sz="18" w:space="0" w:color="auto"/>
            </w:tcBorders>
          </w:tcPr>
          <w:p w14:paraId="52C4EF2E" w14:textId="77777777" w:rsidR="00944A0D" w:rsidRPr="00993AA2" w:rsidRDefault="00944A0D" w:rsidP="00A43DE2">
            <w:pPr>
              <w:spacing w:line="360" w:lineRule="auto"/>
              <w:jc w:val="center"/>
              <w:rPr>
                <w:rFonts w:ascii="Arial" w:hAnsi="Arial" w:cs="Arial"/>
              </w:rPr>
            </w:pPr>
            <w:r w:rsidRPr="00993AA2">
              <w:rPr>
                <w:rFonts w:ascii="Arial" w:hAnsi="Arial" w:cs="Arial"/>
              </w:rPr>
              <w:t>66.12</w:t>
            </w:r>
          </w:p>
          <w:p w14:paraId="68189405" w14:textId="77777777" w:rsidR="00944A0D" w:rsidRPr="00993AA2" w:rsidRDefault="00944A0D" w:rsidP="00A43DE2">
            <w:pPr>
              <w:spacing w:line="360" w:lineRule="auto"/>
              <w:jc w:val="center"/>
              <w:rPr>
                <w:rFonts w:ascii="Arial" w:hAnsi="Arial" w:cs="Arial"/>
              </w:rPr>
            </w:pPr>
            <w:r w:rsidRPr="00993AA2">
              <w:rPr>
                <w:rFonts w:ascii="Arial" w:hAnsi="Arial" w:cs="Arial"/>
              </w:rPr>
              <w:t>33.88</w:t>
            </w:r>
          </w:p>
          <w:p w14:paraId="11F37BA1" w14:textId="77777777" w:rsidR="00944A0D" w:rsidRPr="00993AA2" w:rsidRDefault="00944A0D" w:rsidP="00A43DE2">
            <w:pPr>
              <w:spacing w:line="360" w:lineRule="auto"/>
              <w:jc w:val="center"/>
              <w:rPr>
                <w:rFonts w:ascii="Arial" w:hAnsi="Arial" w:cs="Arial"/>
              </w:rPr>
            </w:pPr>
            <w:r w:rsidRPr="00993AA2">
              <w:rPr>
                <w:rFonts w:ascii="Arial" w:hAnsi="Arial" w:cs="Arial"/>
              </w:rPr>
              <w:t>100</w:t>
            </w:r>
          </w:p>
        </w:tc>
      </w:tr>
    </w:tbl>
    <w:p w14:paraId="330BEAC6" w14:textId="77777777" w:rsidR="00944A0D" w:rsidRDefault="00944A0D" w:rsidP="004F7954">
      <w:pPr>
        <w:autoSpaceDE w:val="0"/>
        <w:autoSpaceDN w:val="0"/>
        <w:adjustRightInd w:val="0"/>
        <w:spacing w:line="480" w:lineRule="auto"/>
        <w:jc w:val="both"/>
      </w:pPr>
    </w:p>
    <w:p w14:paraId="4A623E6B" w14:textId="66DD9857" w:rsidR="004F4615" w:rsidRDefault="00997E62" w:rsidP="00694034">
      <w:pPr>
        <w:autoSpaceDE w:val="0"/>
        <w:autoSpaceDN w:val="0"/>
        <w:adjustRightInd w:val="0"/>
        <w:spacing w:line="480" w:lineRule="auto"/>
        <w:ind w:firstLine="720"/>
        <w:jc w:val="both"/>
      </w:pPr>
      <w:r>
        <w:t>A</w:t>
      </w:r>
      <w:r w:rsidR="004F4615" w:rsidRPr="003125E9">
        <w:t xml:space="preserve"> frequência do lado em que a concha media bolhosa ocorreu, levando-se em conta àqueles indivíduos que </w:t>
      </w:r>
      <w:r>
        <w:t xml:space="preserve">a </w:t>
      </w:r>
      <w:r w:rsidR="004F4615" w:rsidRPr="003125E9">
        <w:t xml:space="preserve">apresentaram, </w:t>
      </w:r>
      <w:r>
        <w:t>está evidenciada na</w:t>
      </w:r>
      <w:r w:rsidR="004F4615" w:rsidRPr="003125E9">
        <w:t xml:space="preserve"> Tabela </w:t>
      </w:r>
      <w:r w:rsidR="00022469">
        <w:t>4</w:t>
      </w:r>
      <w:r w:rsidR="004F4615" w:rsidRPr="003125E9">
        <w:t>.</w:t>
      </w:r>
    </w:p>
    <w:p w14:paraId="4CD49EA7" w14:textId="1EB2F945" w:rsidR="004F7954" w:rsidRPr="004F7954" w:rsidRDefault="00022469" w:rsidP="000E5B56">
      <w:pPr>
        <w:spacing w:line="360" w:lineRule="auto"/>
      </w:pPr>
      <w:r>
        <w:t>Tabela 4</w:t>
      </w:r>
      <w:r w:rsidR="004F7954" w:rsidRPr="004F7954">
        <w:t xml:space="preserve"> – Frequência da concha media bolhosa considerando-se o lado em que ocorreu</w:t>
      </w:r>
      <w:r w:rsidR="00D37BDE">
        <w:t xml:space="preserve"> nos indivíduos que a apresentaram</w:t>
      </w:r>
      <w:r w:rsidR="004F7954" w:rsidRPr="004F7954">
        <w:t>.</w:t>
      </w:r>
    </w:p>
    <w:tbl>
      <w:tblPr>
        <w:tblStyle w:val="TableGrid"/>
        <w:tblW w:w="9072"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268"/>
        <w:gridCol w:w="4252"/>
      </w:tblGrid>
      <w:tr w:rsidR="004F7954" w:rsidRPr="004F7954" w14:paraId="6F4590A2" w14:textId="77777777" w:rsidTr="00022469">
        <w:tc>
          <w:tcPr>
            <w:tcW w:w="2552" w:type="dxa"/>
            <w:tcBorders>
              <w:top w:val="single" w:sz="18" w:space="0" w:color="auto"/>
              <w:bottom w:val="single" w:sz="4" w:space="0" w:color="auto"/>
            </w:tcBorders>
          </w:tcPr>
          <w:p w14:paraId="13D753FF" w14:textId="77777777" w:rsidR="004F7954" w:rsidRPr="004F7954" w:rsidRDefault="004F7954" w:rsidP="004F7954">
            <w:pPr>
              <w:spacing w:line="360" w:lineRule="auto"/>
              <w:jc w:val="center"/>
              <w:rPr>
                <w:rFonts w:ascii="Arial" w:hAnsi="Arial" w:cs="Arial"/>
              </w:rPr>
            </w:pPr>
            <w:r w:rsidRPr="004F7954">
              <w:rPr>
                <w:rFonts w:ascii="Arial" w:hAnsi="Arial" w:cs="Arial"/>
              </w:rPr>
              <w:t>Concha média bolhosa</w:t>
            </w:r>
          </w:p>
        </w:tc>
        <w:tc>
          <w:tcPr>
            <w:tcW w:w="2268" w:type="dxa"/>
            <w:tcBorders>
              <w:top w:val="single" w:sz="18" w:space="0" w:color="auto"/>
              <w:bottom w:val="single" w:sz="4" w:space="0" w:color="auto"/>
            </w:tcBorders>
          </w:tcPr>
          <w:p w14:paraId="46BE239F" w14:textId="77777777" w:rsidR="004F7954" w:rsidRPr="004F7954" w:rsidRDefault="004F7954" w:rsidP="004F7954">
            <w:pPr>
              <w:spacing w:line="360" w:lineRule="auto"/>
              <w:jc w:val="center"/>
              <w:rPr>
                <w:rFonts w:ascii="Arial" w:hAnsi="Arial" w:cs="Arial"/>
              </w:rPr>
            </w:pPr>
            <w:r w:rsidRPr="004F7954">
              <w:rPr>
                <w:rFonts w:ascii="Arial" w:hAnsi="Arial" w:cs="Arial"/>
              </w:rPr>
              <w:t>Frequências</w:t>
            </w:r>
          </w:p>
        </w:tc>
        <w:tc>
          <w:tcPr>
            <w:tcW w:w="4252" w:type="dxa"/>
            <w:tcBorders>
              <w:top w:val="single" w:sz="18" w:space="0" w:color="auto"/>
              <w:bottom w:val="single" w:sz="4" w:space="0" w:color="auto"/>
            </w:tcBorders>
          </w:tcPr>
          <w:p w14:paraId="07695744" w14:textId="77777777" w:rsidR="004F7954" w:rsidRPr="004F7954" w:rsidRDefault="004F7954" w:rsidP="004F7954">
            <w:pPr>
              <w:spacing w:line="360" w:lineRule="auto"/>
              <w:jc w:val="center"/>
              <w:rPr>
                <w:rFonts w:ascii="Arial" w:hAnsi="Arial" w:cs="Arial"/>
              </w:rPr>
            </w:pPr>
            <w:r w:rsidRPr="004F7954">
              <w:rPr>
                <w:rFonts w:ascii="Arial" w:hAnsi="Arial" w:cs="Arial"/>
              </w:rPr>
              <w:t>Porcentagem (%)</w:t>
            </w:r>
          </w:p>
        </w:tc>
      </w:tr>
      <w:tr w:rsidR="004F7954" w:rsidRPr="004F7954" w14:paraId="31A7141F" w14:textId="77777777" w:rsidTr="00022469">
        <w:tc>
          <w:tcPr>
            <w:tcW w:w="2552" w:type="dxa"/>
            <w:tcBorders>
              <w:top w:val="single" w:sz="4" w:space="0" w:color="auto"/>
            </w:tcBorders>
          </w:tcPr>
          <w:p w14:paraId="5ACA9B40" w14:textId="77777777" w:rsidR="004F7954" w:rsidRPr="004F7954" w:rsidRDefault="004F7954" w:rsidP="004F7954">
            <w:pPr>
              <w:spacing w:line="360" w:lineRule="auto"/>
              <w:jc w:val="center"/>
              <w:rPr>
                <w:rFonts w:ascii="Arial" w:hAnsi="Arial" w:cs="Arial"/>
              </w:rPr>
            </w:pPr>
            <w:r w:rsidRPr="004F7954">
              <w:rPr>
                <w:rFonts w:ascii="Arial" w:hAnsi="Arial" w:cs="Arial"/>
              </w:rPr>
              <w:t>Direito</w:t>
            </w:r>
          </w:p>
        </w:tc>
        <w:tc>
          <w:tcPr>
            <w:tcW w:w="2268" w:type="dxa"/>
            <w:tcBorders>
              <w:top w:val="single" w:sz="4" w:space="0" w:color="auto"/>
            </w:tcBorders>
          </w:tcPr>
          <w:p w14:paraId="29B2BE98" w14:textId="77777777" w:rsidR="004F7954" w:rsidRPr="004F7954" w:rsidRDefault="004F7954" w:rsidP="004F7954">
            <w:pPr>
              <w:spacing w:line="360" w:lineRule="auto"/>
              <w:jc w:val="center"/>
              <w:rPr>
                <w:rFonts w:ascii="Arial" w:hAnsi="Arial" w:cs="Arial"/>
              </w:rPr>
            </w:pPr>
            <w:r w:rsidRPr="004F7954">
              <w:rPr>
                <w:rFonts w:ascii="Arial" w:hAnsi="Arial" w:cs="Arial"/>
              </w:rPr>
              <w:t>30</w:t>
            </w:r>
          </w:p>
        </w:tc>
        <w:tc>
          <w:tcPr>
            <w:tcW w:w="4252" w:type="dxa"/>
            <w:tcBorders>
              <w:top w:val="single" w:sz="4" w:space="0" w:color="auto"/>
            </w:tcBorders>
          </w:tcPr>
          <w:p w14:paraId="4946869D" w14:textId="77777777" w:rsidR="004F7954" w:rsidRPr="004F7954" w:rsidRDefault="004F7954" w:rsidP="004F7954">
            <w:pPr>
              <w:spacing w:line="360" w:lineRule="auto"/>
              <w:jc w:val="center"/>
              <w:rPr>
                <w:rFonts w:ascii="Arial" w:hAnsi="Arial" w:cs="Arial"/>
              </w:rPr>
            </w:pPr>
            <w:r w:rsidRPr="004F7954">
              <w:rPr>
                <w:rFonts w:ascii="Arial" w:hAnsi="Arial" w:cs="Arial"/>
              </w:rPr>
              <w:t>48,38</w:t>
            </w:r>
          </w:p>
        </w:tc>
      </w:tr>
      <w:tr w:rsidR="004F7954" w:rsidRPr="004F7954" w14:paraId="7CB15745" w14:textId="77777777" w:rsidTr="00022469">
        <w:trPr>
          <w:trHeight w:val="828"/>
        </w:trPr>
        <w:tc>
          <w:tcPr>
            <w:tcW w:w="2552" w:type="dxa"/>
            <w:tcBorders>
              <w:bottom w:val="single" w:sz="18" w:space="0" w:color="auto"/>
            </w:tcBorders>
          </w:tcPr>
          <w:p w14:paraId="6AFC8834" w14:textId="77777777" w:rsidR="00022469" w:rsidRPr="004F7954" w:rsidRDefault="004F7954" w:rsidP="004F7954">
            <w:pPr>
              <w:spacing w:line="360" w:lineRule="auto"/>
              <w:jc w:val="center"/>
              <w:rPr>
                <w:rFonts w:ascii="Arial" w:hAnsi="Arial" w:cs="Arial"/>
              </w:rPr>
            </w:pPr>
            <w:r w:rsidRPr="004F7954">
              <w:rPr>
                <w:rFonts w:ascii="Arial" w:hAnsi="Arial" w:cs="Arial"/>
              </w:rPr>
              <w:t>Esquerdo</w:t>
            </w:r>
          </w:p>
          <w:p w14:paraId="71BBAFFE" w14:textId="61468F83" w:rsidR="004F7954" w:rsidRPr="004F7954" w:rsidRDefault="00022469" w:rsidP="004F7954">
            <w:pPr>
              <w:spacing w:line="360" w:lineRule="auto"/>
              <w:jc w:val="center"/>
              <w:rPr>
                <w:rFonts w:ascii="Arial" w:hAnsi="Arial" w:cs="Arial"/>
              </w:rPr>
            </w:pPr>
            <w:r w:rsidRPr="004F7954">
              <w:rPr>
                <w:rFonts w:ascii="Arial" w:hAnsi="Arial" w:cs="Arial"/>
              </w:rPr>
              <w:t>Total</w:t>
            </w:r>
          </w:p>
        </w:tc>
        <w:tc>
          <w:tcPr>
            <w:tcW w:w="2268" w:type="dxa"/>
            <w:tcBorders>
              <w:bottom w:val="single" w:sz="18" w:space="0" w:color="auto"/>
            </w:tcBorders>
          </w:tcPr>
          <w:p w14:paraId="6C3EC1C7" w14:textId="77777777" w:rsidR="00022469" w:rsidRPr="004F7954" w:rsidRDefault="004F7954" w:rsidP="004F7954">
            <w:pPr>
              <w:spacing w:line="360" w:lineRule="auto"/>
              <w:jc w:val="center"/>
              <w:rPr>
                <w:rFonts w:ascii="Arial" w:hAnsi="Arial" w:cs="Arial"/>
              </w:rPr>
            </w:pPr>
            <w:r w:rsidRPr="004F7954">
              <w:rPr>
                <w:rFonts w:ascii="Arial" w:hAnsi="Arial" w:cs="Arial"/>
              </w:rPr>
              <w:t>32</w:t>
            </w:r>
          </w:p>
          <w:p w14:paraId="485B8F18" w14:textId="75021724" w:rsidR="004F7954" w:rsidRPr="004F7954" w:rsidRDefault="00022469" w:rsidP="004F7954">
            <w:pPr>
              <w:spacing w:line="360" w:lineRule="auto"/>
              <w:jc w:val="center"/>
              <w:rPr>
                <w:rFonts w:ascii="Arial" w:hAnsi="Arial" w:cs="Arial"/>
              </w:rPr>
            </w:pPr>
            <w:r w:rsidRPr="004F7954">
              <w:rPr>
                <w:rFonts w:ascii="Arial" w:hAnsi="Arial" w:cs="Arial"/>
              </w:rPr>
              <w:t>62</w:t>
            </w:r>
          </w:p>
        </w:tc>
        <w:tc>
          <w:tcPr>
            <w:tcW w:w="4252" w:type="dxa"/>
            <w:tcBorders>
              <w:bottom w:val="single" w:sz="18" w:space="0" w:color="auto"/>
            </w:tcBorders>
          </w:tcPr>
          <w:p w14:paraId="2249D32B" w14:textId="77777777" w:rsidR="00022469" w:rsidRPr="004F7954" w:rsidRDefault="004F7954" w:rsidP="004F7954">
            <w:pPr>
              <w:spacing w:line="360" w:lineRule="auto"/>
              <w:jc w:val="center"/>
              <w:rPr>
                <w:rFonts w:ascii="Arial" w:hAnsi="Arial" w:cs="Arial"/>
              </w:rPr>
            </w:pPr>
            <w:r w:rsidRPr="004F7954">
              <w:rPr>
                <w:rFonts w:ascii="Arial" w:hAnsi="Arial" w:cs="Arial"/>
              </w:rPr>
              <w:t>51,62</w:t>
            </w:r>
          </w:p>
          <w:p w14:paraId="7B8D743E" w14:textId="3E9CD951" w:rsidR="004F7954" w:rsidRPr="004F7954" w:rsidRDefault="00022469" w:rsidP="004F7954">
            <w:pPr>
              <w:spacing w:line="360" w:lineRule="auto"/>
              <w:jc w:val="center"/>
              <w:rPr>
                <w:rFonts w:ascii="Arial" w:hAnsi="Arial" w:cs="Arial"/>
              </w:rPr>
            </w:pPr>
            <w:r w:rsidRPr="004F7954">
              <w:rPr>
                <w:rFonts w:ascii="Arial" w:hAnsi="Arial" w:cs="Arial"/>
              </w:rPr>
              <w:t>100</w:t>
            </w:r>
          </w:p>
        </w:tc>
      </w:tr>
    </w:tbl>
    <w:p w14:paraId="2A4F5701" w14:textId="3BFD2561" w:rsidR="004F7954" w:rsidRPr="000E5B56" w:rsidRDefault="004F7954" w:rsidP="000E5B56">
      <w:pPr>
        <w:spacing w:line="360" w:lineRule="auto"/>
        <w:ind w:firstLine="720"/>
        <w:jc w:val="both"/>
        <w:rPr>
          <w:rFonts w:ascii="Times New Roman" w:hAnsi="Times New Roman" w:cs="Times New Roman"/>
          <w:sz w:val="28"/>
          <w:szCs w:val="28"/>
        </w:rPr>
      </w:pPr>
      <w:r w:rsidRPr="008334FB">
        <w:rPr>
          <w:rFonts w:ascii="Times New Roman" w:hAnsi="Times New Roman" w:cs="Times New Roman"/>
          <w:sz w:val="28"/>
          <w:szCs w:val="28"/>
        </w:rPr>
        <w:t xml:space="preserve">  </w:t>
      </w:r>
    </w:p>
    <w:p w14:paraId="03C0506D" w14:textId="7E0A1F4D" w:rsidR="000E5B56" w:rsidRDefault="006A6D51" w:rsidP="00022469">
      <w:pPr>
        <w:widowControl w:val="0"/>
        <w:autoSpaceDE w:val="0"/>
        <w:autoSpaceDN w:val="0"/>
        <w:adjustRightInd w:val="0"/>
        <w:spacing w:line="480" w:lineRule="auto"/>
        <w:ind w:firstLine="720"/>
        <w:jc w:val="both"/>
      </w:pPr>
      <w:r w:rsidRPr="003125E9">
        <w:t>Com a finalidade de se estudar a possível relação entre a presen</w:t>
      </w:r>
      <w:r w:rsidR="00F732D0">
        <w:t>ça da concha média Bolhosa e a p</w:t>
      </w:r>
      <w:r w:rsidRPr="003125E9">
        <w:t xml:space="preserve">resença do desvio de septo nasal, foi aplicado o teste estatístico de proporções pareado de </w:t>
      </w:r>
      <w:proofErr w:type="spellStart"/>
      <w:r w:rsidRPr="003125E9">
        <w:t>McNemar</w:t>
      </w:r>
      <w:proofErr w:type="spellEnd"/>
      <w:r w:rsidRPr="003125E9">
        <w:t xml:space="preserve">, considerando-se separadamente o lado para o qual ocorria a alteração – direito ou esquerdo. Os resultados dos mesmos estão expostos na Tabela </w:t>
      </w:r>
      <w:r w:rsidR="00022469">
        <w:t>5</w:t>
      </w:r>
      <w:r w:rsidRPr="003125E9">
        <w:t xml:space="preserve">. O teste foi realizado utilizando-se o software SPSS (IBM, </w:t>
      </w:r>
      <w:proofErr w:type="spellStart"/>
      <w:r w:rsidRPr="003125E9">
        <w:t>Armonk</w:t>
      </w:r>
      <w:proofErr w:type="spellEnd"/>
      <w:r w:rsidRPr="003125E9">
        <w:t xml:space="preserve">, </w:t>
      </w:r>
      <w:hyperlink r:id="rId9" w:history="1">
        <w:r w:rsidRPr="003125E9">
          <w:t>NY</w:t>
        </w:r>
      </w:hyperlink>
      <w:r w:rsidRPr="003125E9">
        <w:t>, EUA).</w:t>
      </w:r>
    </w:p>
    <w:p w14:paraId="571C6703" w14:textId="6C3C6CA4" w:rsidR="000E5B56" w:rsidRPr="000E5B56" w:rsidRDefault="000E5B56" w:rsidP="00022469">
      <w:pPr>
        <w:spacing w:line="480" w:lineRule="auto"/>
      </w:pPr>
      <w:r w:rsidRPr="000E5B56">
        <w:t xml:space="preserve">Tabela </w:t>
      </w:r>
      <w:r w:rsidR="00022469">
        <w:t>5</w:t>
      </w:r>
      <w:r w:rsidRPr="000E5B56">
        <w:t xml:space="preserve"> – Teste de </w:t>
      </w:r>
      <w:proofErr w:type="spellStart"/>
      <w:r w:rsidRPr="000E5B56">
        <w:t>McNemar</w:t>
      </w:r>
      <w:proofErr w:type="spellEnd"/>
      <w:r w:rsidRPr="000E5B56">
        <w:t>, tabulação cruzada entre a presença e ausência de Desvio de septo nasal e concha média bolhosa.</w:t>
      </w:r>
    </w:p>
    <w:tbl>
      <w:tblPr>
        <w:tblW w:w="8336" w:type="dxa"/>
        <w:jc w:val="center"/>
        <w:tblInd w:w="-517" w:type="dxa"/>
        <w:tblLayout w:type="fixed"/>
        <w:tblCellMar>
          <w:left w:w="0" w:type="dxa"/>
          <w:right w:w="0" w:type="dxa"/>
        </w:tblCellMar>
        <w:tblLook w:val="0000" w:firstRow="0" w:lastRow="0" w:firstColumn="0" w:lastColumn="0" w:noHBand="0" w:noVBand="0"/>
      </w:tblPr>
      <w:tblGrid>
        <w:gridCol w:w="1276"/>
        <w:gridCol w:w="766"/>
        <w:gridCol w:w="3062"/>
        <w:gridCol w:w="992"/>
        <w:gridCol w:w="1276"/>
        <w:gridCol w:w="964"/>
      </w:tblGrid>
      <w:tr w:rsidR="000E5B56" w:rsidRPr="000E5B56" w14:paraId="528A4CF2" w14:textId="77777777" w:rsidTr="00FC5B7A">
        <w:trPr>
          <w:cantSplit/>
          <w:jc w:val="center"/>
        </w:trPr>
        <w:tc>
          <w:tcPr>
            <w:tcW w:w="5104" w:type="dxa"/>
            <w:gridSpan w:val="3"/>
            <w:vMerge w:val="restart"/>
            <w:tcBorders>
              <w:top w:val="single" w:sz="12" w:space="0" w:color="auto"/>
              <w:bottom w:val="single" w:sz="18" w:space="0" w:color="auto"/>
            </w:tcBorders>
            <w:shd w:val="clear" w:color="auto" w:fill="FFFFFF"/>
          </w:tcPr>
          <w:p w14:paraId="77A8AFAF" w14:textId="77777777" w:rsidR="000E5B56" w:rsidRPr="000E5B56" w:rsidRDefault="000E5B56" w:rsidP="00FC5B7A">
            <w:pPr>
              <w:autoSpaceDE w:val="0"/>
              <w:autoSpaceDN w:val="0"/>
              <w:adjustRightInd w:val="0"/>
              <w:jc w:val="both"/>
            </w:pPr>
          </w:p>
        </w:tc>
        <w:tc>
          <w:tcPr>
            <w:tcW w:w="2268" w:type="dxa"/>
            <w:gridSpan w:val="2"/>
            <w:tcBorders>
              <w:top w:val="single" w:sz="12" w:space="0" w:color="auto"/>
              <w:bottom w:val="single" w:sz="6" w:space="0" w:color="auto"/>
            </w:tcBorders>
            <w:shd w:val="clear" w:color="auto" w:fill="FFFFFF"/>
          </w:tcPr>
          <w:p w14:paraId="1D68C55C" w14:textId="77777777" w:rsidR="000E5B56" w:rsidRPr="000E5B56" w:rsidRDefault="000E5B56" w:rsidP="00FC5B7A">
            <w:pPr>
              <w:autoSpaceDE w:val="0"/>
              <w:autoSpaceDN w:val="0"/>
              <w:adjustRightInd w:val="0"/>
              <w:spacing w:line="320" w:lineRule="atLeast"/>
              <w:ind w:left="60" w:right="60"/>
              <w:jc w:val="both"/>
            </w:pPr>
            <w:proofErr w:type="spellStart"/>
            <w:r w:rsidRPr="000E5B56">
              <w:t>Conchabol</w:t>
            </w:r>
            <w:proofErr w:type="spellEnd"/>
          </w:p>
        </w:tc>
        <w:tc>
          <w:tcPr>
            <w:tcW w:w="964" w:type="dxa"/>
            <w:tcBorders>
              <w:top w:val="single" w:sz="12" w:space="0" w:color="auto"/>
              <w:bottom w:val="single" w:sz="6" w:space="0" w:color="auto"/>
            </w:tcBorders>
            <w:shd w:val="clear" w:color="auto" w:fill="FFFFFF"/>
          </w:tcPr>
          <w:p w14:paraId="57682CC4" w14:textId="77777777" w:rsidR="000E5B56" w:rsidRPr="000E5B56" w:rsidRDefault="000E5B56" w:rsidP="00FC5B7A">
            <w:pPr>
              <w:autoSpaceDE w:val="0"/>
              <w:autoSpaceDN w:val="0"/>
              <w:adjustRightInd w:val="0"/>
              <w:spacing w:line="320" w:lineRule="atLeast"/>
              <w:ind w:left="60" w:right="60"/>
              <w:jc w:val="both"/>
            </w:pPr>
            <w:r w:rsidRPr="000E5B56">
              <w:t>Total</w:t>
            </w:r>
          </w:p>
        </w:tc>
      </w:tr>
      <w:tr w:rsidR="000E5B56" w:rsidRPr="000E5B56" w14:paraId="562A8357" w14:textId="77777777" w:rsidTr="00022469">
        <w:trPr>
          <w:cantSplit/>
          <w:jc w:val="center"/>
        </w:trPr>
        <w:tc>
          <w:tcPr>
            <w:tcW w:w="5104" w:type="dxa"/>
            <w:gridSpan w:val="3"/>
            <w:vMerge/>
            <w:tcBorders>
              <w:bottom w:val="single" w:sz="18" w:space="0" w:color="auto"/>
            </w:tcBorders>
            <w:shd w:val="clear" w:color="auto" w:fill="FFFFFF"/>
          </w:tcPr>
          <w:p w14:paraId="1EB6AF6A" w14:textId="77777777" w:rsidR="000E5B56" w:rsidRPr="000E5B56" w:rsidRDefault="000E5B56" w:rsidP="00FC5B7A">
            <w:pPr>
              <w:autoSpaceDE w:val="0"/>
              <w:autoSpaceDN w:val="0"/>
              <w:adjustRightInd w:val="0"/>
              <w:jc w:val="both"/>
            </w:pPr>
          </w:p>
        </w:tc>
        <w:tc>
          <w:tcPr>
            <w:tcW w:w="992" w:type="dxa"/>
            <w:tcBorders>
              <w:top w:val="single" w:sz="6" w:space="0" w:color="auto"/>
              <w:bottom w:val="single" w:sz="18" w:space="0" w:color="auto"/>
            </w:tcBorders>
            <w:shd w:val="clear" w:color="auto" w:fill="FFFFFF"/>
          </w:tcPr>
          <w:p w14:paraId="617444A1" w14:textId="77777777" w:rsidR="000E5B56" w:rsidRPr="000E5B56" w:rsidRDefault="000E5B56" w:rsidP="00FC5B7A">
            <w:pPr>
              <w:autoSpaceDE w:val="0"/>
              <w:autoSpaceDN w:val="0"/>
              <w:adjustRightInd w:val="0"/>
              <w:spacing w:line="320" w:lineRule="atLeast"/>
              <w:ind w:left="60" w:right="60"/>
              <w:jc w:val="both"/>
            </w:pPr>
            <w:proofErr w:type="spellStart"/>
            <w:r w:rsidRPr="000E5B56">
              <w:t>aus</w:t>
            </w:r>
            <w:proofErr w:type="spellEnd"/>
          </w:p>
        </w:tc>
        <w:tc>
          <w:tcPr>
            <w:tcW w:w="1276" w:type="dxa"/>
            <w:tcBorders>
              <w:top w:val="single" w:sz="6" w:space="0" w:color="auto"/>
              <w:bottom w:val="single" w:sz="18" w:space="0" w:color="auto"/>
            </w:tcBorders>
            <w:shd w:val="clear" w:color="auto" w:fill="FFFFFF"/>
          </w:tcPr>
          <w:p w14:paraId="4479CD7F" w14:textId="77777777" w:rsidR="000E5B56" w:rsidRPr="000E5B56" w:rsidRDefault="000E5B56" w:rsidP="00FC5B7A">
            <w:pPr>
              <w:autoSpaceDE w:val="0"/>
              <w:autoSpaceDN w:val="0"/>
              <w:adjustRightInd w:val="0"/>
              <w:spacing w:line="320" w:lineRule="atLeast"/>
              <w:ind w:left="60" w:right="60"/>
              <w:jc w:val="both"/>
            </w:pPr>
            <w:proofErr w:type="spellStart"/>
            <w:r w:rsidRPr="000E5B56">
              <w:t>pres</w:t>
            </w:r>
            <w:proofErr w:type="spellEnd"/>
          </w:p>
        </w:tc>
        <w:tc>
          <w:tcPr>
            <w:tcW w:w="964" w:type="dxa"/>
            <w:tcBorders>
              <w:top w:val="single" w:sz="6" w:space="0" w:color="auto"/>
              <w:bottom w:val="single" w:sz="18" w:space="0" w:color="auto"/>
            </w:tcBorders>
            <w:shd w:val="clear" w:color="auto" w:fill="FFFFFF"/>
          </w:tcPr>
          <w:p w14:paraId="0FCD6864" w14:textId="77777777" w:rsidR="000E5B56" w:rsidRPr="000E5B56" w:rsidRDefault="000E5B56" w:rsidP="00FC5B7A">
            <w:pPr>
              <w:autoSpaceDE w:val="0"/>
              <w:autoSpaceDN w:val="0"/>
              <w:adjustRightInd w:val="0"/>
              <w:spacing w:line="320" w:lineRule="atLeast"/>
              <w:ind w:left="60" w:right="60"/>
              <w:jc w:val="both"/>
            </w:pPr>
          </w:p>
        </w:tc>
      </w:tr>
      <w:tr w:rsidR="000E5B56" w:rsidRPr="000E5B56" w14:paraId="12D29977" w14:textId="77777777" w:rsidTr="00FC5B7A">
        <w:trPr>
          <w:cantSplit/>
          <w:jc w:val="center"/>
        </w:trPr>
        <w:tc>
          <w:tcPr>
            <w:tcW w:w="1276" w:type="dxa"/>
            <w:vMerge w:val="restart"/>
            <w:tcBorders>
              <w:top w:val="single" w:sz="12" w:space="0" w:color="auto"/>
            </w:tcBorders>
            <w:shd w:val="clear" w:color="auto" w:fill="FFFFFF"/>
            <w:vAlign w:val="center"/>
          </w:tcPr>
          <w:p w14:paraId="37FD9798" w14:textId="77777777" w:rsidR="000E5B56" w:rsidRPr="000E5B56" w:rsidRDefault="000E5B56" w:rsidP="00FC5B7A">
            <w:pPr>
              <w:autoSpaceDE w:val="0"/>
              <w:autoSpaceDN w:val="0"/>
              <w:adjustRightInd w:val="0"/>
              <w:spacing w:line="320" w:lineRule="atLeast"/>
              <w:ind w:left="60" w:right="60"/>
              <w:jc w:val="both"/>
            </w:pPr>
            <w:proofErr w:type="spellStart"/>
            <w:r w:rsidRPr="000E5B56">
              <w:t>Desvsep</w:t>
            </w:r>
            <w:proofErr w:type="spellEnd"/>
          </w:p>
        </w:tc>
        <w:tc>
          <w:tcPr>
            <w:tcW w:w="766" w:type="dxa"/>
            <w:vMerge w:val="restart"/>
            <w:shd w:val="clear" w:color="auto" w:fill="FFFFFF"/>
            <w:vAlign w:val="center"/>
          </w:tcPr>
          <w:p w14:paraId="16AD66C8" w14:textId="77777777" w:rsidR="000E5B56" w:rsidRPr="000E5B56" w:rsidRDefault="000E5B56" w:rsidP="00FC5B7A">
            <w:pPr>
              <w:autoSpaceDE w:val="0"/>
              <w:autoSpaceDN w:val="0"/>
              <w:adjustRightInd w:val="0"/>
              <w:spacing w:line="320" w:lineRule="atLeast"/>
              <w:ind w:left="60" w:right="60"/>
              <w:jc w:val="both"/>
            </w:pPr>
            <w:proofErr w:type="spellStart"/>
            <w:r w:rsidRPr="000E5B56">
              <w:t>aus</w:t>
            </w:r>
            <w:proofErr w:type="spellEnd"/>
          </w:p>
        </w:tc>
        <w:tc>
          <w:tcPr>
            <w:tcW w:w="3062" w:type="dxa"/>
            <w:tcBorders>
              <w:top w:val="single" w:sz="12" w:space="0" w:color="auto"/>
            </w:tcBorders>
            <w:shd w:val="clear" w:color="auto" w:fill="FFFFFF"/>
            <w:vAlign w:val="center"/>
          </w:tcPr>
          <w:p w14:paraId="154CC1DA" w14:textId="77777777" w:rsidR="000E5B56" w:rsidRPr="000E5B56" w:rsidRDefault="000E5B56" w:rsidP="00FC5B7A">
            <w:pPr>
              <w:autoSpaceDE w:val="0"/>
              <w:autoSpaceDN w:val="0"/>
              <w:adjustRightInd w:val="0"/>
              <w:spacing w:line="320" w:lineRule="atLeast"/>
              <w:ind w:left="60" w:right="60"/>
              <w:jc w:val="both"/>
            </w:pPr>
            <w:r w:rsidRPr="000E5B56">
              <w:t>Número de casos</w:t>
            </w:r>
          </w:p>
        </w:tc>
        <w:tc>
          <w:tcPr>
            <w:tcW w:w="992" w:type="dxa"/>
            <w:tcBorders>
              <w:top w:val="single" w:sz="12" w:space="0" w:color="auto"/>
            </w:tcBorders>
            <w:shd w:val="clear" w:color="auto" w:fill="FFFFFF"/>
          </w:tcPr>
          <w:p w14:paraId="3CB58EB4" w14:textId="77777777" w:rsidR="000E5B56" w:rsidRPr="000E5B56" w:rsidRDefault="000E5B56" w:rsidP="00FC5B7A">
            <w:pPr>
              <w:autoSpaceDE w:val="0"/>
              <w:autoSpaceDN w:val="0"/>
              <w:adjustRightInd w:val="0"/>
              <w:spacing w:line="320" w:lineRule="atLeast"/>
              <w:ind w:left="60" w:right="60"/>
              <w:jc w:val="both"/>
            </w:pPr>
            <w:r w:rsidRPr="000E5B56">
              <w:t>61</w:t>
            </w:r>
          </w:p>
        </w:tc>
        <w:tc>
          <w:tcPr>
            <w:tcW w:w="1276" w:type="dxa"/>
            <w:tcBorders>
              <w:top w:val="single" w:sz="12" w:space="0" w:color="auto"/>
            </w:tcBorders>
            <w:shd w:val="clear" w:color="auto" w:fill="FFFFFF"/>
          </w:tcPr>
          <w:p w14:paraId="1C30664F" w14:textId="77777777" w:rsidR="000E5B56" w:rsidRPr="000E5B56" w:rsidRDefault="000E5B56" w:rsidP="00FC5B7A">
            <w:pPr>
              <w:autoSpaceDE w:val="0"/>
              <w:autoSpaceDN w:val="0"/>
              <w:adjustRightInd w:val="0"/>
              <w:spacing w:line="320" w:lineRule="atLeast"/>
              <w:ind w:left="60" w:right="60"/>
              <w:jc w:val="both"/>
            </w:pPr>
            <w:r w:rsidRPr="000E5B56">
              <w:t>22</w:t>
            </w:r>
          </w:p>
        </w:tc>
        <w:tc>
          <w:tcPr>
            <w:tcW w:w="964" w:type="dxa"/>
            <w:tcBorders>
              <w:top w:val="single" w:sz="12" w:space="0" w:color="auto"/>
            </w:tcBorders>
            <w:shd w:val="clear" w:color="auto" w:fill="FFFFFF"/>
          </w:tcPr>
          <w:p w14:paraId="07D1B327" w14:textId="77777777" w:rsidR="000E5B56" w:rsidRPr="000E5B56" w:rsidRDefault="000E5B56" w:rsidP="00FC5B7A">
            <w:pPr>
              <w:autoSpaceDE w:val="0"/>
              <w:autoSpaceDN w:val="0"/>
              <w:adjustRightInd w:val="0"/>
              <w:spacing w:line="320" w:lineRule="atLeast"/>
              <w:ind w:left="60" w:right="60"/>
              <w:jc w:val="both"/>
            </w:pPr>
            <w:r w:rsidRPr="000E5B56">
              <w:t>83</w:t>
            </w:r>
          </w:p>
        </w:tc>
      </w:tr>
      <w:tr w:rsidR="000E5B56" w:rsidRPr="000E5B56" w14:paraId="2B166BBA" w14:textId="77777777" w:rsidTr="00FC5B7A">
        <w:trPr>
          <w:cantSplit/>
          <w:jc w:val="center"/>
        </w:trPr>
        <w:tc>
          <w:tcPr>
            <w:tcW w:w="1276" w:type="dxa"/>
            <w:vMerge/>
            <w:shd w:val="clear" w:color="auto" w:fill="FFFFFF"/>
            <w:vAlign w:val="center"/>
          </w:tcPr>
          <w:p w14:paraId="345629D8" w14:textId="77777777" w:rsidR="000E5B56" w:rsidRPr="000E5B56" w:rsidRDefault="000E5B56" w:rsidP="00FC5B7A">
            <w:pPr>
              <w:autoSpaceDE w:val="0"/>
              <w:autoSpaceDN w:val="0"/>
              <w:adjustRightInd w:val="0"/>
              <w:jc w:val="both"/>
            </w:pPr>
          </w:p>
        </w:tc>
        <w:tc>
          <w:tcPr>
            <w:tcW w:w="766" w:type="dxa"/>
            <w:vMerge/>
            <w:shd w:val="clear" w:color="auto" w:fill="FFFFFF"/>
            <w:vAlign w:val="center"/>
          </w:tcPr>
          <w:p w14:paraId="68902579" w14:textId="77777777" w:rsidR="000E5B56" w:rsidRPr="000E5B56" w:rsidRDefault="000E5B56" w:rsidP="00FC5B7A">
            <w:pPr>
              <w:autoSpaceDE w:val="0"/>
              <w:autoSpaceDN w:val="0"/>
              <w:adjustRightInd w:val="0"/>
              <w:jc w:val="both"/>
            </w:pPr>
          </w:p>
        </w:tc>
        <w:tc>
          <w:tcPr>
            <w:tcW w:w="3062" w:type="dxa"/>
            <w:shd w:val="clear" w:color="auto" w:fill="FFFFFF"/>
            <w:vAlign w:val="center"/>
          </w:tcPr>
          <w:p w14:paraId="7CFA8345" w14:textId="77777777" w:rsidR="000E5B56" w:rsidRPr="000E5B56" w:rsidRDefault="000E5B56" w:rsidP="00FC5B7A">
            <w:pPr>
              <w:autoSpaceDE w:val="0"/>
              <w:autoSpaceDN w:val="0"/>
              <w:adjustRightInd w:val="0"/>
              <w:spacing w:line="320" w:lineRule="atLeast"/>
              <w:ind w:left="60" w:right="60"/>
              <w:jc w:val="both"/>
            </w:pPr>
            <w:r w:rsidRPr="000E5B56">
              <w:t xml:space="preserve">% dentro de </w:t>
            </w:r>
            <w:proofErr w:type="spellStart"/>
            <w:r w:rsidRPr="000E5B56">
              <w:t>Desvsep</w:t>
            </w:r>
            <w:proofErr w:type="spellEnd"/>
          </w:p>
        </w:tc>
        <w:tc>
          <w:tcPr>
            <w:tcW w:w="992" w:type="dxa"/>
            <w:shd w:val="clear" w:color="auto" w:fill="FFFFFF"/>
          </w:tcPr>
          <w:p w14:paraId="318AF8FC" w14:textId="77777777" w:rsidR="000E5B56" w:rsidRPr="000E5B56" w:rsidRDefault="000E5B56" w:rsidP="00FC5B7A">
            <w:pPr>
              <w:autoSpaceDE w:val="0"/>
              <w:autoSpaceDN w:val="0"/>
              <w:adjustRightInd w:val="0"/>
              <w:spacing w:line="320" w:lineRule="atLeast"/>
              <w:ind w:left="60" w:right="60"/>
              <w:jc w:val="both"/>
            </w:pPr>
            <w:r w:rsidRPr="000E5B56">
              <w:t>73,5%</w:t>
            </w:r>
          </w:p>
        </w:tc>
        <w:tc>
          <w:tcPr>
            <w:tcW w:w="1276" w:type="dxa"/>
            <w:shd w:val="clear" w:color="auto" w:fill="FFFFFF"/>
          </w:tcPr>
          <w:p w14:paraId="3B7EAC65" w14:textId="77777777" w:rsidR="000E5B56" w:rsidRPr="000E5B56" w:rsidRDefault="000E5B56" w:rsidP="00FC5B7A">
            <w:pPr>
              <w:autoSpaceDE w:val="0"/>
              <w:autoSpaceDN w:val="0"/>
              <w:adjustRightInd w:val="0"/>
              <w:spacing w:line="320" w:lineRule="atLeast"/>
              <w:ind w:left="60" w:right="60"/>
              <w:jc w:val="both"/>
            </w:pPr>
            <w:r w:rsidRPr="000E5B56">
              <w:t>26,5%</w:t>
            </w:r>
          </w:p>
        </w:tc>
        <w:tc>
          <w:tcPr>
            <w:tcW w:w="964" w:type="dxa"/>
            <w:shd w:val="clear" w:color="auto" w:fill="FFFFFF"/>
          </w:tcPr>
          <w:p w14:paraId="05A87829" w14:textId="77777777" w:rsidR="000E5B56" w:rsidRPr="000E5B56" w:rsidRDefault="000E5B56" w:rsidP="00FC5B7A">
            <w:pPr>
              <w:autoSpaceDE w:val="0"/>
              <w:autoSpaceDN w:val="0"/>
              <w:adjustRightInd w:val="0"/>
              <w:spacing w:line="320" w:lineRule="atLeast"/>
              <w:ind w:left="60" w:right="60"/>
              <w:jc w:val="both"/>
            </w:pPr>
            <w:r w:rsidRPr="000E5B56">
              <w:t>100,0%</w:t>
            </w:r>
          </w:p>
        </w:tc>
      </w:tr>
      <w:tr w:rsidR="000E5B56" w:rsidRPr="000E5B56" w14:paraId="766F3EDB" w14:textId="77777777" w:rsidTr="00FC5B7A">
        <w:trPr>
          <w:cantSplit/>
          <w:jc w:val="center"/>
        </w:trPr>
        <w:tc>
          <w:tcPr>
            <w:tcW w:w="1276" w:type="dxa"/>
            <w:vMerge/>
            <w:shd w:val="clear" w:color="auto" w:fill="FFFFFF"/>
            <w:vAlign w:val="center"/>
          </w:tcPr>
          <w:p w14:paraId="162F8634" w14:textId="77777777" w:rsidR="000E5B56" w:rsidRPr="000E5B56" w:rsidRDefault="000E5B56" w:rsidP="00FC5B7A">
            <w:pPr>
              <w:autoSpaceDE w:val="0"/>
              <w:autoSpaceDN w:val="0"/>
              <w:adjustRightInd w:val="0"/>
              <w:jc w:val="both"/>
            </w:pPr>
          </w:p>
        </w:tc>
        <w:tc>
          <w:tcPr>
            <w:tcW w:w="766" w:type="dxa"/>
            <w:vMerge/>
            <w:shd w:val="clear" w:color="auto" w:fill="FFFFFF"/>
            <w:vAlign w:val="center"/>
          </w:tcPr>
          <w:p w14:paraId="383C453E" w14:textId="77777777" w:rsidR="000E5B56" w:rsidRPr="000E5B56" w:rsidRDefault="000E5B56" w:rsidP="00FC5B7A">
            <w:pPr>
              <w:autoSpaceDE w:val="0"/>
              <w:autoSpaceDN w:val="0"/>
              <w:adjustRightInd w:val="0"/>
              <w:jc w:val="both"/>
            </w:pPr>
          </w:p>
        </w:tc>
        <w:tc>
          <w:tcPr>
            <w:tcW w:w="3062" w:type="dxa"/>
            <w:shd w:val="clear" w:color="auto" w:fill="FFFFFF"/>
            <w:vAlign w:val="center"/>
          </w:tcPr>
          <w:p w14:paraId="7B3938E1" w14:textId="77777777" w:rsidR="000E5B56" w:rsidRPr="000E5B56" w:rsidRDefault="000E5B56" w:rsidP="00FC5B7A">
            <w:pPr>
              <w:autoSpaceDE w:val="0"/>
              <w:autoSpaceDN w:val="0"/>
              <w:adjustRightInd w:val="0"/>
              <w:spacing w:line="320" w:lineRule="atLeast"/>
              <w:ind w:left="60" w:right="60"/>
              <w:jc w:val="both"/>
            </w:pPr>
            <w:r w:rsidRPr="000E5B56">
              <w:t xml:space="preserve">% dentro de </w:t>
            </w:r>
            <w:proofErr w:type="spellStart"/>
            <w:r w:rsidRPr="000E5B56">
              <w:t>Conchabol</w:t>
            </w:r>
            <w:proofErr w:type="spellEnd"/>
          </w:p>
        </w:tc>
        <w:tc>
          <w:tcPr>
            <w:tcW w:w="992" w:type="dxa"/>
            <w:shd w:val="clear" w:color="auto" w:fill="FFFFFF"/>
          </w:tcPr>
          <w:p w14:paraId="5D481C61" w14:textId="77777777" w:rsidR="000E5B56" w:rsidRPr="000E5B56" w:rsidRDefault="000E5B56" w:rsidP="00FC5B7A">
            <w:pPr>
              <w:autoSpaceDE w:val="0"/>
              <w:autoSpaceDN w:val="0"/>
              <w:adjustRightInd w:val="0"/>
              <w:spacing w:line="320" w:lineRule="atLeast"/>
              <w:ind w:left="60" w:right="60"/>
              <w:jc w:val="both"/>
            </w:pPr>
            <w:r w:rsidRPr="000E5B56">
              <w:t>69,3%</w:t>
            </w:r>
          </w:p>
        </w:tc>
        <w:tc>
          <w:tcPr>
            <w:tcW w:w="1276" w:type="dxa"/>
            <w:shd w:val="clear" w:color="auto" w:fill="FFFFFF"/>
          </w:tcPr>
          <w:p w14:paraId="32758CD5" w14:textId="77777777" w:rsidR="000E5B56" w:rsidRPr="000E5B56" w:rsidRDefault="000E5B56" w:rsidP="00FC5B7A">
            <w:pPr>
              <w:autoSpaceDE w:val="0"/>
              <w:autoSpaceDN w:val="0"/>
              <w:adjustRightInd w:val="0"/>
              <w:spacing w:line="320" w:lineRule="atLeast"/>
              <w:ind w:left="60" w:right="60"/>
              <w:jc w:val="both"/>
            </w:pPr>
            <w:r w:rsidRPr="000E5B56">
              <w:t>73,3%</w:t>
            </w:r>
          </w:p>
        </w:tc>
        <w:tc>
          <w:tcPr>
            <w:tcW w:w="964" w:type="dxa"/>
            <w:shd w:val="clear" w:color="auto" w:fill="FFFFFF"/>
          </w:tcPr>
          <w:p w14:paraId="62A887D1" w14:textId="77777777" w:rsidR="000E5B56" w:rsidRPr="000E5B56" w:rsidRDefault="000E5B56" w:rsidP="00FC5B7A">
            <w:pPr>
              <w:autoSpaceDE w:val="0"/>
              <w:autoSpaceDN w:val="0"/>
              <w:adjustRightInd w:val="0"/>
              <w:spacing w:line="320" w:lineRule="atLeast"/>
              <w:ind w:left="60" w:right="60"/>
              <w:jc w:val="both"/>
            </w:pPr>
            <w:r w:rsidRPr="000E5B56">
              <w:t>70,3%</w:t>
            </w:r>
          </w:p>
        </w:tc>
      </w:tr>
      <w:tr w:rsidR="000E5B56" w:rsidRPr="000E5B56" w14:paraId="645FA0FD" w14:textId="77777777" w:rsidTr="00FC5B7A">
        <w:trPr>
          <w:cantSplit/>
          <w:jc w:val="center"/>
        </w:trPr>
        <w:tc>
          <w:tcPr>
            <w:tcW w:w="1276" w:type="dxa"/>
            <w:vMerge/>
            <w:shd w:val="clear" w:color="auto" w:fill="FFFFFF"/>
            <w:vAlign w:val="center"/>
          </w:tcPr>
          <w:p w14:paraId="24CB40E9" w14:textId="77777777" w:rsidR="000E5B56" w:rsidRPr="000E5B56" w:rsidRDefault="000E5B56" w:rsidP="00FC5B7A">
            <w:pPr>
              <w:autoSpaceDE w:val="0"/>
              <w:autoSpaceDN w:val="0"/>
              <w:adjustRightInd w:val="0"/>
              <w:jc w:val="both"/>
            </w:pPr>
          </w:p>
        </w:tc>
        <w:tc>
          <w:tcPr>
            <w:tcW w:w="766" w:type="dxa"/>
            <w:vMerge w:val="restart"/>
            <w:shd w:val="clear" w:color="auto" w:fill="FFFFFF"/>
            <w:vAlign w:val="center"/>
          </w:tcPr>
          <w:p w14:paraId="2485ED1C" w14:textId="77777777" w:rsidR="000E5B56" w:rsidRPr="000E5B56" w:rsidRDefault="000E5B56" w:rsidP="00FC5B7A">
            <w:pPr>
              <w:autoSpaceDE w:val="0"/>
              <w:autoSpaceDN w:val="0"/>
              <w:adjustRightInd w:val="0"/>
              <w:spacing w:line="320" w:lineRule="atLeast"/>
              <w:ind w:left="60" w:right="60"/>
              <w:jc w:val="both"/>
            </w:pPr>
            <w:proofErr w:type="spellStart"/>
            <w:r w:rsidRPr="000E5B56">
              <w:t>pres</w:t>
            </w:r>
            <w:proofErr w:type="spellEnd"/>
          </w:p>
        </w:tc>
        <w:tc>
          <w:tcPr>
            <w:tcW w:w="3062" w:type="dxa"/>
            <w:shd w:val="clear" w:color="auto" w:fill="FFFFFF"/>
            <w:vAlign w:val="center"/>
          </w:tcPr>
          <w:p w14:paraId="40E60312" w14:textId="77777777" w:rsidR="000E5B56" w:rsidRPr="000E5B56" w:rsidRDefault="000E5B56" w:rsidP="00FC5B7A">
            <w:pPr>
              <w:autoSpaceDE w:val="0"/>
              <w:autoSpaceDN w:val="0"/>
              <w:adjustRightInd w:val="0"/>
              <w:spacing w:line="320" w:lineRule="atLeast"/>
              <w:ind w:left="60" w:right="60"/>
              <w:jc w:val="both"/>
            </w:pPr>
            <w:r w:rsidRPr="000E5B56">
              <w:t>Número de casos</w:t>
            </w:r>
          </w:p>
        </w:tc>
        <w:tc>
          <w:tcPr>
            <w:tcW w:w="992" w:type="dxa"/>
            <w:shd w:val="clear" w:color="auto" w:fill="FFFFFF"/>
          </w:tcPr>
          <w:p w14:paraId="53109058" w14:textId="77777777" w:rsidR="000E5B56" w:rsidRPr="000E5B56" w:rsidRDefault="000E5B56" w:rsidP="00FC5B7A">
            <w:pPr>
              <w:autoSpaceDE w:val="0"/>
              <w:autoSpaceDN w:val="0"/>
              <w:adjustRightInd w:val="0"/>
              <w:spacing w:line="320" w:lineRule="atLeast"/>
              <w:ind w:left="60" w:right="60"/>
              <w:jc w:val="both"/>
            </w:pPr>
            <w:r w:rsidRPr="000E5B56">
              <w:t>27</w:t>
            </w:r>
          </w:p>
        </w:tc>
        <w:tc>
          <w:tcPr>
            <w:tcW w:w="1276" w:type="dxa"/>
            <w:shd w:val="clear" w:color="auto" w:fill="FFFFFF"/>
          </w:tcPr>
          <w:p w14:paraId="3D7E72C2" w14:textId="77777777" w:rsidR="000E5B56" w:rsidRPr="000E5B56" w:rsidRDefault="000E5B56" w:rsidP="00FC5B7A">
            <w:pPr>
              <w:autoSpaceDE w:val="0"/>
              <w:autoSpaceDN w:val="0"/>
              <w:adjustRightInd w:val="0"/>
              <w:spacing w:line="320" w:lineRule="atLeast"/>
              <w:ind w:left="60" w:right="60"/>
              <w:jc w:val="both"/>
            </w:pPr>
            <w:r w:rsidRPr="000E5B56">
              <w:t>8</w:t>
            </w:r>
          </w:p>
        </w:tc>
        <w:tc>
          <w:tcPr>
            <w:tcW w:w="964" w:type="dxa"/>
            <w:shd w:val="clear" w:color="auto" w:fill="FFFFFF"/>
          </w:tcPr>
          <w:p w14:paraId="370560CE" w14:textId="77777777" w:rsidR="000E5B56" w:rsidRPr="000E5B56" w:rsidRDefault="000E5B56" w:rsidP="00FC5B7A">
            <w:pPr>
              <w:autoSpaceDE w:val="0"/>
              <w:autoSpaceDN w:val="0"/>
              <w:adjustRightInd w:val="0"/>
              <w:spacing w:line="320" w:lineRule="atLeast"/>
              <w:ind w:left="60" w:right="60"/>
              <w:jc w:val="both"/>
            </w:pPr>
            <w:r w:rsidRPr="000E5B56">
              <w:t>35</w:t>
            </w:r>
          </w:p>
        </w:tc>
      </w:tr>
      <w:tr w:rsidR="000E5B56" w:rsidRPr="000E5B56" w14:paraId="2D311110" w14:textId="77777777" w:rsidTr="00FC5B7A">
        <w:trPr>
          <w:cantSplit/>
          <w:jc w:val="center"/>
        </w:trPr>
        <w:tc>
          <w:tcPr>
            <w:tcW w:w="1276" w:type="dxa"/>
            <w:vMerge/>
            <w:shd w:val="clear" w:color="auto" w:fill="FFFFFF"/>
            <w:vAlign w:val="center"/>
          </w:tcPr>
          <w:p w14:paraId="43B0082A" w14:textId="77777777" w:rsidR="000E5B56" w:rsidRPr="000E5B56" w:rsidRDefault="000E5B56" w:rsidP="00FC5B7A">
            <w:pPr>
              <w:autoSpaceDE w:val="0"/>
              <w:autoSpaceDN w:val="0"/>
              <w:adjustRightInd w:val="0"/>
              <w:jc w:val="both"/>
            </w:pPr>
          </w:p>
        </w:tc>
        <w:tc>
          <w:tcPr>
            <w:tcW w:w="766" w:type="dxa"/>
            <w:vMerge/>
            <w:shd w:val="clear" w:color="auto" w:fill="FFFFFF"/>
            <w:vAlign w:val="center"/>
          </w:tcPr>
          <w:p w14:paraId="53360F92" w14:textId="77777777" w:rsidR="000E5B56" w:rsidRPr="000E5B56" w:rsidRDefault="000E5B56" w:rsidP="00FC5B7A">
            <w:pPr>
              <w:autoSpaceDE w:val="0"/>
              <w:autoSpaceDN w:val="0"/>
              <w:adjustRightInd w:val="0"/>
              <w:jc w:val="both"/>
            </w:pPr>
          </w:p>
        </w:tc>
        <w:tc>
          <w:tcPr>
            <w:tcW w:w="3062" w:type="dxa"/>
            <w:shd w:val="clear" w:color="auto" w:fill="FFFFFF"/>
            <w:vAlign w:val="center"/>
          </w:tcPr>
          <w:p w14:paraId="5C00257C" w14:textId="77777777" w:rsidR="000E5B56" w:rsidRPr="000E5B56" w:rsidRDefault="000E5B56" w:rsidP="00FC5B7A">
            <w:pPr>
              <w:autoSpaceDE w:val="0"/>
              <w:autoSpaceDN w:val="0"/>
              <w:adjustRightInd w:val="0"/>
              <w:spacing w:line="320" w:lineRule="atLeast"/>
              <w:ind w:left="60" w:right="60"/>
              <w:jc w:val="both"/>
            </w:pPr>
            <w:r w:rsidRPr="000E5B56">
              <w:t xml:space="preserve">% dentro de </w:t>
            </w:r>
            <w:proofErr w:type="spellStart"/>
            <w:r w:rsidRPr="000E5B56">
              <w:t>Desvsep</w:t>
            </w:r>
            <w:proofErr w:type="spellEnd"/>
          </w:p>
        </w:tc>
        <w:tc>
          <w:tcPr>
            <w:tcW w:w="992" w:type="dxa"/>
            <w:shd w:val="clear" w:color="auto" w:fill="FFFFFF"/>
          </w:tcPr>
          <w:p w14:paraId="0CAAF0E6" w14:textId="77777777" w:rsidR="000E5B56" w:rsidRPr="000E5B56" w:rsidRDefault="000E5B56" w:rsidP="00FC5B7A">
            <w:pPr>
              <w:autoSpaceDE w:val="0"/>
              <w:autoSpaceDN w:val="0"/>
              <w:adjustRightInd w:val="0"/>
              <w:spacing w:line="320" w:lineRule="atLeast"/>
              <w:ind w:left="60" w:right="60"/>
              <w:jc w:val="both"/>
            </w:pPr>
            <w:r w:rsidRPr="000E5B56">
              <w:t>77,1%</w:t>
            </w:r>
          </w:p>
        </w:tc>
        <w:tc>
          <w:tcPr>
            <w:tcW w:w="1276" w:type="dxa"/>
            <w:shd w:val="clear" w:color="auto" w:fill="FFFFFF"/>
          </w:tcPr>
          <w:p w14:paraId="14E85BC8" w14:textId="77777777" w:rsidR="000E5B56" w:rsidRPr="000E5B56" w:rsidRDefault="000E5B56" w:rsidP="00FC5B7A">
            <w:pPr>
              <w:autoSpaceDE w:val="0"/>
              <w:autoSpaceDN w:val="0"/>
              <w:adjustRightInd w:val="0"/>
              <w:spacing w:line="320" w:lineRule="atLeast"/>
              <w:ind w:left="60" w:right="60"/>
              <w:jc w:val="both"/>
            </w:pPr>
            <w:r w:rsidRPr="000E5B56">
              <w:t>22,9%</w:t>
            </w:r>
          </w:p>
        </w:tc>
        <w:tc>
          <w:tcPr>
            <w:tcW w:w="964" w:type="dxa"/>
            <w:shd w:val="clear" w:color="auto" w:fill="FFFFFF"/>
          </w:tcPr>
          <w:p w14:paraId="3115D249" w14:textId="77777777" w:rsidR="000E5B56" w:rsidRPr="000E5B56" w:rsidRDefault="000E5B56" w:rsidP="00FC5B7A">
            <w:pPr>
              <w:autoSpaceDE w:val="0"/>
              <w:autoSpaceDN w:val="0"/>
              <w:adjustRightInd w:val="0"/>
              <w:spacing w:line="320" w:lineRule="atLeast"/>
              <w:ind w:left="60" w:right="60"/>
              <w:jc w:val="both"/>
            </w:pPr>
            <w:r w:rsidRPr="000E5B56">
              <w:t>100,0%</w:t>
            </w:r>
          </w:p>
        </w:tc>
      </w:tr>
      <w:tr w:rsidR="000E5B56" w:rsidRPr="000E5B56" w14:paraId="37934427" w14:textId="77777777" w:rsidTr="00FC5B7A">
        <w:trPr>
          <w:cantSplit/>
          <w:jc w:val="center"/>
        </w:trPr>
        <w:tc>
          <w:tcPr>
            <w:tcW w:w="1276" w:type="dxa"/>
            <w:vMerge/>
            <w:shd w:val="clear" w:color="auto" w:fill="FFFFFF"/>
            <w:vAlign w:val="center"/>
          </w:tcPr>
          <w:p w14:paraId="4E6864C9" w14:textId="77777777" w:rsidR="000E5B56" w:rsidRPr="000E5B56" w:rsidRDefault="000E5B56" w:rsidP="00FC5B7A">
            <w:pPr>
              <w:autoSpaceDE w:val="0"/>
              <w:autoSpaceDN w:val="0"/>
              <w:adjustRightInd w:val="0"/>
              <w:jc w:val="both"/>
            </w:pPr>
          </w:p>
        </w:tc>
        <w:tc>
          <w:tcPr>
            <w:tcW w:w="766" w:type="dxa"/>
            <w:vMerge/>
            <w:shd w:val="clear" w:color="auto" w:fill="FFFFFF"/>
            <w:vAlign w:val="center"/>
          </w:tcPr>
          <w:p w14:paraId="15EF41EC" w14:textId="77777777" w:rsidR="000E5B56" w:rsidRPr="000E5B56" w:rsidRDefault="000E5B56" w:rsidP="00FC5B7A">
            <w:pPr>
              <w:autoSpaceDE w:val="0"/>
              <w:autoSpaceDN w:val="0"/>
              <w:adjustRightInd w:val="0"/>
              <w:jc w:val="both"/>
            </w:pPr>
          </w:p>
        </w:tc>
        <w:tc>
          <w:tcPr>
            <w:tcW w:w="3062" w:type="dxa"/>
            <w:shd w:val="clear" w:color="auto" w:fill="FFFFFF"/>
            <w:vAlign w:val="center"/>
          </w:tcPr>
          <w:p w14:paraId="16C0B87A" w14:textId="77777777" w:rsidR="000E5B56" w:rsidRPr="000E5B56" w:rsidRDefault="000E5B56" w:rsidP="00FC5B7A">
            <w:pPr>
              <w:autoSpaceDE w:val="0"/>
              <w:autoSpaceDN w:val="0"/>
              <w:adjustRightInd w:val="0"/>
              <w:spacing w:line="320" w:lineRule="atLeast"/>
              <w:ind w:left="60" w:right="60"/>
              <w:jc w:val="both"/>
            </w:pPr>
            <w:r w:rsidRPr="000E5B56">
              <w:t xml:space="preserve">% dentro de </w:t>
            </w:r>
            <w:proofErr w:type="spellStart"/>
            <w:r w:rsidRPr="000E5B56">
              <w:t>Conchabol</w:t>
            </w:r>
            <w:proofErr w:type="spellEnd"/>
          </w:p>
        </w:tc>
        <w:tc>
          <w:tcPr>
            <w:tcW w:w="992" w:type="dxa"/>
            <w:shd w:val="clear" w:color="auto" w:fill="FFFFFF"/>
          </w:tcPr>
          <w:p w14:paraId="7A71ED91" w14:textId="77777777" w:rsidR="000E5B56" w:rsidRPr="000E5B56" w:rsidRDefault="000E5B56" w:rsidP="00FC5B7A">
            <w:pPr>
              <w:autoSpaceDE w:val="0"/>
              <w:autoSpaceDN w:val="0"/>
              <w:adjustRightInd w:val="0"/>
              <w:spacing w:line="320" w:lineRule="atLeast"/>
              <w:ind w:left="60" w:right="60"/>
              <w:jc w:val="both"/>
            </w:pPr>
            <w:r w:rsidRPr="000E5B56">
              <w:t>30,7%</w:t>
            </w:r>
          </w:p>
        </w:tc>
        <w:tc>
          <w:tcPr>
            <w:tcW w:w="1276" w:type="dxa"/>
            <w:shd w:val="clear" w:color="auto" w:fill="FFFFFF"/>
          </w:tcPr>
          <w:p w14:paraId="7FB3DE4A" w14:textId="77777777" w:rsidR="000E5B56" w:rsidRPr="000E5B56" w:rsidRDefault="000E5B56" w:rsidP="00FC5B7A">
            <w:pPr>
              <w:autoSpaceDE w:val="0"/>
              <w:autoSpaceDN w:val="0"/>
              <w:adjustRightInd w:val="0"/>
              <w:spacing w:line="320" w:lineRule="atLeast"/>
              <w:ind w:left="60" w:right="60"/>
              <w:jc w:val="both"/>
            </w:pPr>
            <w:r w:rsidRPr="000E5B56">
              <w:t>26,7%</w:t>
            </w:r>
          </w:p>
        </w:tc>
        <w:tc>
          <w:tcPr>
            <w:tcW w:w="964" w:type="dxa"/>
            <w:shd w:val="clear" w:color="auto" w:fill="FFFFFF"/>
          </w:tcPr>
          <w:p w14:paraId="3263BE96" w14:textId="77777777" w:rsidR="000E5B56" w:rsidRPr="000E5B56" w:rsidRDefault="000E5B56" w:rsidP="00FC5B7A">
            <w:pPr>
              <w:autoSpaceDE w:val="0"/>
              <w:autoSpaceDN w:val="0"/>
              <w:adjustRightInd w:val="0"/>
              <w:spacing w:line="320" w:lineRule="atLeast"/>
              <w:ind w:left="60" w:right="60"/>
              <w:jc w:val="both"/>
            </w:pPr>
            <w:r w:rsidRPr="000E5B56">
              <w:t>29,7%</w:t>
            </w:r>
          </w:p>
        </w:tc>
      </w:tr>
      <w:tr w:rsidR="000E5B56" w:rsidRPr="000E5B56" w14:paraId="2CC6BCD4" w14:textId="77777777" w:rsidTr="00FC5B7A">
        <w:trPr>
          <w:cantSplit/>
          <w:jc w:val="center"/>
        </w:trPr>
        <w:tc>
          <w:tcPr>
            <w:tcW w:w="2042" w:type="dxa"/>
            <w:gridSpan w:val="2"/>
            <w:vMerge w:val="restart"/>
            <w:shd w:val="clear" w:color="auto" w:fill="FFFFFF"/>
            <w:vAlign w:val="center"/>
          </w:tcPr>
          <w:p w14:paraId="27AA66D5" w14:textId="77777777" w:rsidR="000E5B56" w:rsidRPr="000E5B56" w:rsidRDefault="000E5B56" w:rsidP="00FC5B7A">
            <w:pPr>
              <w:autoSpaceDE w:val="0"/>
              <w:autoSpaceDN w:val="0"/>
              <w:adjustRightInd w:val="0"/>
              <w:spacing w:line="320" w:lineRule="atLeast"/>
              <w:ind w:left="60" w:right="60"/>
              <w:jc w:val="both"/>
            </w:pPr>
            <w:r w:rsidRPr="000E5B56">
              <w:t>Total</w:t>
            </w:r>
          </w:p>
        </w:tc>
        <w:tc>
          <w:tcPr>
            <w:tcW w:w="3062" w:type="dxa"/>
            <w:shd w:val="clear" w:color="auto" w:fill="FFFFFF"/>
            <w:vAlign w:val="center"/>
          </w:tcPr>
          <w:p w14:paraId="4F37CAFA" w14:textId="77777777" w:rsidR="000E5B56" w:rsidRPr="000E5B56" w:rsidRDefault="000E5B56" w:rsidP="00FC5B7A">
            <w:pPr>
              <w:autoSpaceDE w:val="0"/>
              <w:autoSpaceDN w:val="0"/>
              <w:adjustRightInd w:val="0"/>
              <w:spacing w:line="320" w:lineRule="atLeast"/>
              <w:ind w:left="60" w:right="60"/>
              <w:jc w:val="both"/>
            </w:pPr>
            <w:r w:rsidRPr="000E5B56">
              <w:t>Número de casos</w:t>
            </w:r>
          </w:p>
        </w:tc>
        <w:tc>
          <w:tcPr>
            <w:tcW w:w="992" w:type="dxa"/>
            <w:shd w:val="clear" w:color="auto" w:fill="FFFFFF"/>
          </w:tcPr>
          <w:p w14:paraId="2A72AB3E" w14:textId="77777777" w:rsidR="000E5B56" w:rsidRPr="000E5B56" w:rsidRDefault="000E5B56" w:rsidP="00FC5B7A">
            <w:pPr>
              <w:autoSpaceDE w:val="0"/>
              <w:autoSpaceDN w:val="0"/>
              <w:adjustRightInd w:val="0"/>
              <w:spacing w:line="320" w:lineRule="atLeast"/>
              <w:ind w:left="60" w:right="60"/>
              <w:jc w:val="both"/>
            </w:pPr>
            <w:r w:rsidRPr="000E5B56">
              <w:t>88</w:t>
            </w:r>
          </w:p>
        </w:tc>
        <w:tc>
          <w:tcPr>
            <w:tcW w:w="1276" w:type="dxa"/>
            <w:shd w:val="clear" w:color="auto" w:fill="FFFFFF"/>
          </w:tcPr>
          <w:p w14:paraId="0C203BE0" w14:textId="77777777" w:rsidR="000E5B56" w:rsidRPr="000E5B56" w:rsidRDefault="000E5B56" w:rsidP="00FC5B7A">
            <w:pPr>
              <w:autoSpaceDE w:val="0"/>
              <w:autoSpaceDN w:val="0"/>
              <w:adjustRightInd w:val="0"/>
              <w:spacing w:line="320" w:lineRule="atLeast"/>
              <w:ind w:left="60" w:right="60"/>
              <w:jc w:val="both"/>
            </w:pPr>
            <w:r w:rsidRPr="000E5B56">
              <w:t>30</w:t>
            </w:r>
          </w:p>
        </w:tc>
        <w:tc>
          <w:tcPr>
            <w:tcW w:w="964" w:type="dxa"/>
            <w:shd w:val="clear" w:color="auto" w:fill="FFFFFF"/>
          </w:tcPr>
          <w:p w14:paraId="4BA5A564" w14:textId="77777777" w:rsidR="000E5B56" w:rsidRPr="000E5B56" w:rsidRDefault="000E5B56" w:rsidP="00FC5B7A">
            <w:pPr>
              <w:autoSpaceDE w:val="0"/>
              <w:autoSpaceDN w:val="0"/>
              <w:adjustRightInd w:val="0"/>
              <w:spacing w:line="320" w:lineRule="atLeast"/>
              <w:ind w:left="60" w:right="60"/>
              <w:jc w:val="both"/>
            </w:pPr>
            <w:r w:rsidRPr="000E5B56">
              <w:t>118</w:t>
            </w:r>
          </w:p>
        </w:tc>
      </w:tr>
      <w:tr w:rsidR="000E5B56" w:rsidRPr="000E5B56" w14:paraId="7136D621" w14:textId="77777777" w:rsidTr="00FC5B7A">
        <w:trPr>
          <w:cantSplit/>
          <w:jc w:val="center"/>
        </w:trPr>
        <w:tc>
          <w:tcPr>
            <w:tcW w:w="2042" w:type="dxa"/>
            <w:gridSpan w:val="2"/>
            <w:vMerge/>
            <w:shd w:val="clear" w:color="auto" w:fill="FFFFFF"/>
            <w:vAlign w:val="center"/>
          </w:tcPr>
          <w:p w14:paraId="5F46E023" w14:textId="77777777" w:rsidR="000E5B56" w:rsidRPr="000E5B56" w:rsidRDefault="000E5B56" w:rsidP="00FC5B7A">
            <w:pPr>
              <w:autoSpaceDE w:val="0"/>
              <w:autoSpaceDN w:val="0"/>
              <w:adjustRightInd w:val="0"/>
              <w:jc w:val="both"/>
            </w:pPr>
          </w:p>
        </w:tc>
        <w:tc>
          <w:tcPr>
            <w:tcW w:w="3062" w:type="dxa"/>
            <w:shd w:val="clear" w:color="auto" w:fill="FFFFFF"/>
            <w:vAlign w:val="center"/>
          </w:tcPr>
          <w:p w14:paraId="3D1197B9" w14:textId="77777777" w:rsidR="000E5B56" w:rsidRPr="000E5B56" w:rsidRDefault="000E5B56" w:rsidP="00FC5B7A">
            <w:pPr>
              <w:autoSpaceDE w:val="0"/>
              <w:autoSpaceDN w:val="0"/>
              <w:adjustRightInd w:val="0"/>
              <w:spacing w:line="320" w:lineRule="atLeast"/>
              <w:ind w:left="60" w:right="60"/>
              <w:jc w:val="both"/>
            </w:pPr>
            <w:r w:rsidRPr="000E5B56">
              <w:t xml:space="preserve">% dentro de </w:t>
            </w:r>
            <w:proofErr w:type="spellStart"/>
            <w:r w:rsidRPr="000E5B56">
              <w:t>Desvsep</w:t>
            </w:r>
            <w:proofErr w:type="spellEnd"/>
          </w:p>
        </w:tc>
        <w:tc>
          <w:tcPr>
            <w:tcW w:w="992" w:type="dxa"/>
            <w:shd w:val="clear" w:color="auto" w:fill="FFFFFF"/>
          </w:tcPr>
          <w:p w14:paraId="66F67B75" w14:textId="77777777" w:rsidR="000E5B56" w:rsidRPr="000E5B56" w:rsidRDefault="000E5B56" w:rsidP="00FC5B7A">
            <w:pPr>
              <w:autoSpaceDE w:val="0"/>
              <w:autoSpaceDN w:val="0"/>
              <w:adjustRightInd w:val="0"/>
              <w:spacing w:line="320" w:lineRule="atLeast"/>
              <w:ind w:left="60" w:right="60"/>
              <w:jc w:val="both"/>
            </w:pPr>
            <w:r w:rsidRPr="000E5B56">
              <w:t>74,6%</w:t>
            </w:r>
          </w:p>
        </w:tc>
        <w:tc>
          <w:tcPr>
            <w:tcW w:w="1276" w:type="dxa"/>
            <w:shd w:val="clear" w:color="auto" w:fill="FFFFFF"/>
          </w:tcPr>
          <w:p w14:paraId="18EB1CE2" w14:textId="77777777" w:rsidR="000E5B56" w:rsidRPr="000E5B56" w:rsidRDefault="000E5B56" w:rsidP="00FC5B7A">
            <w:pPr>
              <w:autoSpaceDE w:val="0"/>
              <w:autoSpaceDN w:val="0"/>
              <w:adjustRightInd w:val="0"/>
              <w:spacing w:line="320" w:lineRule="atLeast"/>
              <w:ind w:left="60" w:right="60"/>
              <w:jc w:val="both"/>
            </w:pPr>
            <w:r w:rsidRPr="000E5B56">
              <w:t>25,4%</w:t>
            </w:r>
          </w:p>
        </w:tc>
        <w:tc>
          <w:tcPr>
            <w:tcW w:w="964" w:type="dxa"/>
            <w:shd w:val="clear" w:color="auto" w:fill="FFFFFF"/>
          </w:tcPr>
          <w:p w14:paraId="0EBFDABA" w14:textId="77777777" w:rsidR="000E5B56" w:rsidRPr="000E5B56" w:rsidRDefault="000E5B56" w:rsidP="00FC5B7A">
            <w:pPr>
              <w:autoSpaceDE w:val="0"/>
              <w:autoSpaceDN w:val="0"/>
              <w:adjustRightInd w:val="0"/>
              <w:spacing w:line="320" w:lineRule="atLeast"/>
              <w:ind w:left="60" w:right="60"/>
              <w:jc w:val="both"/>
            </w:pPr>
            <w:r w:rsidRPr="000E5B56">
              <w:t>100,0%</w:t>
            </w:r>
          </w:p>
        </w:tc>
      </w:tr>
      <w:tr w:rsidR="000E5B56" w:rsidRPr="000E5B56" w14:paraId="553ED85F" w14:textId="77777777" w:rsidTr="00FC5B7A">
        <w:trPr>
          <w:cantSplit/>
          <w:jc w:val="center"/>
        </w:trPr>
        <w:tc>
          <w:tcPr>
            <w:tcW w:w="2042" w:type="dxa"/>
            <w:gridSpan w:val="2"/>
            <w:vMerge/>
            <w:tcBorders>
              <w:bottom w:val="single" w:sz="12" w:space="0" w:color="auto"/>
            </w:tcBorders>
            <w:shd w:val="clear" w:color="auto" w:fill="FFFFFF"/>
            <w:vAlign w:val="center"/>
          </w:tcPr>
          <w:p w14:paraId="5FC1918B" w14:textId="77777777" w:rsidR="000E5B56" w:rsidRPr="000E5B56" w:rsidRDefault="000E5B56" w:rsidP="00FC5B7A">
            <w:pPr>
              <w:autoSpaceDE w:val="0"/>
              <w:autoSpaceDN w:val="0"/>
              <w:adjustRightInd w:val="0"/>
              <w:jc w:val="both"/>
            </w:pPr>
          </w:p>
        </w:tc>
        <w:tc>
          <w:tcPr>
            <w:tcW w:w="3062" w:type="dxa"/>
            <w:tcBorders>
              <w:bottom w:val="single" w:sz="12" w:space="0" w:color="auto"/>
            </w:tcBorders>
            <w:shd w:val="clear" w:color="auto" w:fill="FFFFFF"/>
            <w:vAlign w:val="center"/>
          </w:tcPr>
          <w:p w14:paraId="1FF96E85" w14:textId="77777777" w:rsidR="000E5B56" w:rsidRPr="000E5B56" w:rsidRDefault="000E5B56" w:rsidP="00FC5B7A">
            <w:pPr>
              <w:autoSpaceDE w:val="0"/>
              <w:autoSpaceDN w:val="0"/>
              <w:adjustRightInd w:val="0"/>
              <w:spacing w:line="320" w:lineRule="atLeast"/>
              <w:ind w:left="60" w:right="60"/>
              <w:jc w:val="both"/>
            </w:pPr>
            <w:r w:rsidRPr="000E5B56">
              <w:t xml:space="preserve">% dentro de </w:t>
            </w:r>
            <w:proofErr w:type="spellStart"/>
            <w:r w:rsidRPr="000E5B56">
              <w:t>conchabol</w:t>
            </w:r>
            <w:proofErr w:type="spellEnd"/>
          </w:p>
        </w:tc>
        <w:tc>
          <w:tcPr>
            <w:tcW w:w="992" w:type="dxa"/>
            <w:tcBorders>
              <w:bottom w:val="single" w:sz="12" w:space="0" w:color="auto"/>
            </w:tcBorders>
            <w:shd w:val="clear" w:color="auto" w:fill="FFFFFF"/>
          </w:tcPr>
          <w:p w14:paraId="3F11A2CF" w14:textId="77777777" w:rsidR="000E5B56" w:rsidRPr="000E5B56" w:rsidRDefault="000E5B56" w:rsidP="00FC5B7A">
            <w:pPr>
              <w:autoSpaceDE w:val="0"/>
              <w:autoSpaceDN w:val="0"/>
              <w:adjustRightInd w:val="0"/>
              <w:spacing w:line="320" w:lineRule="atLeast"/>
              <w:ind w:left="60" w:right="60"/>
              <w:jc w:val="both"/>
            </w:pPr>
            <w:r w:rsidRPr="000E5B56">
              <w:t>100,0%</w:t>
            </w:r>
          </w:p>
        </w:tc>
        <w:tc>
          <w:tcPr>
            <w:tcW w:w="1276" w:type="dxa"/>
            <w:tcBorders>
              <w:bottom w:val="single" w:sz="12" w:space="0" w:color="auto"/>
            </w:tcBorders>
            <w:shd w:val="clear" w:color="auto" w:fill="FFFFFF"/>
          </w:tcPr>
          <w:p w14:paraId="229FA569" w14:textId="77777777" w:rsidR="000E5B56" w:rsidRPr="000E5B56" w:rsidRDefault="000E5B56" w:rsidP="00FC5B7A">
            <w:pPr>
              <w:autoSpaceDE w:val="0"/>
              <w:autoSpaceDN w:val="0"/>
              <w:adjustRightInd w:val="0"/>
              <w:spacing w:line="320" w:lineRule="atLeast"/>
              <w:ind w:left="60" w:right="60"/>
              <w:jc w:val="both"/>
            </w:pPr>
            <w:r w:rsidRPr="000E5B56">
              <w:t>100,0%</w:t>
            </w:r>
          </w:p>
        </w:tc>
        <w:tc>
          <w:tcPr>
            <w:tcW w:w="964" w:type="dxa"/>
            <w:tcBorders>
              <w:bottom w:val="single" w:sz="12" w:space="0" w:color="auto"/>
            </w:tcBorders>
            <w:shd w:val="clear" w:color="auto" w:fill="FFFFFF"/>
          </w:tcPr>
          <w:p w14:paraId="61996830" w14:textId="77777777" w:rsidR="000E5B56" w:rsidRPr="000E5B56" w:rsidRDefault="000E5B56" w:rsidP="00FC5B7A">
            <w:pPr>
              <w:autoSpaceDE w:val="0"/>
              <w:autoSpaceDN w:val="0"/>
              <w:adjustRightInd w:val="0"/>
              <w:spacing w:line="320" w:lineRule="atLeast"/>
              <w:ind w:left="60" w:right="60"/>
              <w:jc w:val="both"/>
            </w:pPr>
            <w:r w:rsidRPr="000E5B56">
              <w:t>100,0%</w:t>
            </w:r>
          </w:p>
        </w:tc>
      </w:tr>
    </w:tbl>
    <w:p w14:paraId="66FF93AB" w14:textId="77777777" w:rsidR="000E5B56" w:rsidRPr="000E5B56" w:rsidRDefault="000E5B56" w:rsidP="000E5B56">
      <w:proofErr w:type="spellStart"/>
      <w:r w:rsidRPr="000E5B56">
        <w:t>Conchabol</w:t>
      </w:r>
      <w:proofErr w:type="spellEnd"/>
      <w:r w:rsidRPr="000E5B56">
        <w:t xml:space="preserve">= concha média bolhosa; </w:t>
      </w:r>
      <w:proofErr w:type="spellStart"/>
      <w:r w:rsidRPr="000E5B56">
        <w:t>Desvsep</w:t>
      </w:r>
      <w:proofErr w:type="spellEnd"/>
      <w:r w:rsidRPr="000E5B56">
        <w:t xml:space="preserve"> = desvio de septo nasal; </w:t>
      </w:r>
      <w:proofErr w:type="spellStart"/>
      <w:r w:rsidRPr="000E5B56">
        <w:t>aus</w:t>
      </w:r>
      <w:proofErr w:type="spellEnd"/>
      <w:r w:rsidRPr="000E5B56">
        <w:t xml:space="preserve"> = ausência; </w:t>
      </w:r>
      <w:proofErr w:type="spellStart"/>
      <w:r w:rsidRPr="000E5B56">
        <w:t>pres</w:t>
      </w:r>
      <w:proofErr w:type="spellEnd"/>
      <w:r w:rsidRPr="000E5B56">
        <w:t xml:space="preserve"> = presença.</w:t>
      </w:r>
    </w:p>
    <w:p w14:paraId="23848D56" w14:textId="655FBDF6" w:rsidR="000E5B56" w:rsidRDefault="000E5B56" w:rsidP="00F732D0">
      <w:r w:rsidRPr="000E5B56">
        <w:t xml:space="preserve">Valor do </w:t>
      </w:r>
      <w:proofErr w:type="spellStart"/>
      <w:r w:rsidRPr="000E5B56">
        <w:t>Qui</w:t>
      </w:r>
      <w:proofErr w:type="spellEnd"/>
      <w:r w:rsidRPr="000E5B56">
        <w:t>-quadrado = 0,568.</w:t>
      </w:r>
    </w:p>
    <w:p w14:paraId="25078346" w14:textId="77777777" w:rsidR="00F732D0" w:rsidRPr="003125E9" w:rsidRDefault="00F732D0" w:rsidP="00F732D0"/>
    <w:p w14:paraId="1B516B6E" w14:textId="77777777" w:rsidR="006A6D51" w:rsidRPr="003125E9" w:rsidRDefault="006A6D51" w:rsidP="006A6D51">
      <w:pPr>
        <w:spacing w:line="480" w:lineRule="auto"/>
        <w:ind w:firstLine="720"/>
        <w:jc w:val="both"/>
      </w:pPr>
      <w:r w:rsidRPr="003125E9">
        <w:t>Quando se considera apenas os casos que apresentaram o desvio de septo nasal para um dos lados – direito ou esquerdo – a proporção que não apresentou o a concha média bolhosa para o mesmo lado foi de 77,1% e a que apresentou também a concha média bolhosa para o mesmo lado foi de 22,9%.</w:t>
      </w:r>
    </w:p>
    <w:p w14:paraId="1D930945" w14:textId="77777777" w:rsidR="006A6D51" w:rsidRPr="003125E9" w:rsidRDefault="006A6D51" w:rsidP="006A6D51">
      <w:pPr>
        <w:spacing w:line="480" w:lineRule="auto"/>
        <w:ind w:firstLine="720"/>
        <w:jc w:val="both"/>
      </w:pPr>
      <w:r w:rsidRPr="003125E9">
        <w:t xml:space="preserve">Finalmente, observou-se que pelo valor do </w:t>
      </w:r>
      <w:proofErr w:type="spellStart"/>
      <w:r w:rsidRPr="003125E9">
        <w:t>qui</w:t>
      </w:r>
      <w:proofErr w:type="spellEnd"/>
      <w:r w:rsidRPr="003125E9">
        <w:t xml:space="preserve">-quadrado (0,568), obtido pelo teste de </w:t>
      </w:r>
      <w:proofErr w:type="spellStart"/>
      <w:r w:rsidRPr="003125E9">
        <w:t>McNemar</w:t>
      </w:r>
      <w:proofErr w:type="spellEnd"/>
      <w:r w:rsidRPr="003125E9">
        <w:t>, não houve relação entre a presença das duas variáveis analisadas na pesquisa – desvio de septo nasal e presença de concha média bolhosa.</w:t>
      </w:r>
    </w:p>
    <w:p w14:paraId="35DC76B3" w14:textId="52D59720" w:rsidR="004F4615" w:rsidRPr="003125E9" w:rsidRDefault="006A6D51" w:rsidP="006A6D51">
      <w:pPr>
        <w:autoSpaceDE w:val="0"/>
        <w:autoSpaceDN w:val="0"/>
        <w:adjustRightInd w:val="0"/>
        <w:spacing w:line="480" w:lineRule="auto"/>
        <w:jc w:val="both"/>
        <w:rPr>
          <w:b/>
        </w:rPr>
      </w:pPr>
      <w:proofErr w:type="spellStart"/>
      <w:r w:rsidRPr="003125E9">
        <w:rPr>
          <w:b/>
        </w:rPr>
        <w:t>Dis</w:t>
      </w:r>
      <w:r w:rsidR="0013053A">
        <w:rPr>
          <w:b/>
        </w:rPr>
        <w:t>c</w:t>
      </w:r>
      <w:r w:rsidRPr="003125E9">
        <w:rPr>
          <w:b/>
        </w:rPr>
        <w:t>ussion</w:t>
      </w:r>
      <w:proofErr w:type="spellEnd"/>
      <w:r w:rsidR="0013053A">
        <w:rPr>
          <w:b/>
        </w:rPr>
        <w:t>-</w:t>
      </w:r>
    </w:p>
    <w:p w14:paraId="26639988" w14:textId="7DA615E3" w:rsidR="00FF7816" w:rsidRPr="003125E9" w:rsidRDefault="005F57CC" w:rsidP="003125E9">
      <w:pPr>
        <w:widowControl w:val="0"/>
        <w:autoSpaceDE w:val="0"/>
        <w:autoSpaceDN w:val="0"/>
        <w:adjustRightInd w:val="0"/>
        <w:spacing w:line="480" w:lineRule="auto"/>
        <w:ind w:firstLine="720"/>
        <w:jc w:val="both"/>
      </w:pPr>
      <w:r w:rsidRPr="003125E9">
        <w:t>Alguns autores [8]</w:t>
      </w:r>
      <w:r w:rsidR="00FF7816" w:rsidRPr="003125E9">
        <w:t xml:space="preserve"> enfatizam que o desvio do septo nasal é uma entidade clínica comum encontrada na prática da otorrinolaringologia</w:t>
      </w:r>
      <w:r w:rsidR="00790089">
        <w:t xml:space="preserve"> e cirurgia de cabeça e pescoço, s</w:t>
      </w:r>
      <w:r w:rsidR="0050747C">
        <w:t>endo considerado como a</w:t>
      </w:r>
      <w:r w:rsidR="00FF7816" w:rsidRPr="003125E9">
        <w:t xml:space="preserve"> divergência da linha mediana associada a deformidades ou assimetria das conchas adjacentes ou da estrutura da parede nasal, e que possuem apresentação variável na população. </w:t>
      </w:r>
      <w:r w:rsidRPr="003125E9">
        <w:t xml:space="preserve">Estudos </w:t>
      </w:r>
      <w:r w:rsidR="0050747C">
        <w:t xml:space="preserve">afirmam </w:t>
      </w:r>
      <w:r w:rsidR="00FF7816" w:rsidRPr="003125E9">
        <w:t>que a tom</w:t>
      </w:r>
      <w:r w:rsidR="0050747C">
        <w:t xml:space="preserve">ografia computadorizada (TC) é </w:t>
      </w:r>
      <w:r w:rsidR="00FF7816" w:rsidRPr="003125E9">
        <w:t xml:space="preserve">a modalidade de exames de escolha para a avaliação das fossas nasais e seios paranasais, sendo que tem sido cada vez mais utilizada para a avaliação das variações anatômicas, identificando-as de forma precisa e com elevados detalhes anatômicos. Segundo esses autores, algumas variações anatômicas podem predispor a </w:t>
      </w:r>
      <w:proofErr w:type="spellStart"/>
      <w:r w:rsidR="00FF7816" w:rsidRPr="003125E9">
        <w:t>sinusopatias</w:t>
      </w:r>
      <w:proofErr w:type="spellEnd"/>
      <w:r w:rsidR="00FF7816" w:rsidRPr="003125E9">
        <w:t xml:space="preserve"> e constituir regiões de alto risco para lesões e complicações durante atos operatórios, sendo, desta forma, seu reconhecimento de fundamental importância no pré-operatório de cirurgia endoscó</w:t>
      </w:r>
      <w:r w:rsidR="00790089">
        <w:t xml:space="preserve">pica </w:t>
      </w:r>
      <w:r w:rsidR="00790089" w:rsidRPr="003125E9">
        <w:t>[9]</w:t>
      </w:r>
      <w:r w:rsidR="00790089">
        <w:t>.</w:t>
      </w:r>
    </w:p>
    <w:p w14:paraId="34CB7853" w14:textId="6A452C76" w:rsidR="00FF7816" w:rsidRPr="003125E9" w:rsidRDefault="00FF7816" w:rsidP="003125E9">
      <w:pPr>
        <w:widowControl w:val="0"/>
        <w:autoSpaceDE w:val="0"/>
        <w:autoSpaceDN w:val="0"/>
        <w:adjustRightInd w:val="0"/>
        <w:spacing w:line="480" w:lineRule="auto"/>
        <w:ind w:firstLine="720"/>
        <w:jc w:val="both"/>
      </w:pPr>
      <w:r w:rsidRPr="003125E9">
        <w:t xml:space="preserve">A concha nasal média bolhosa, variação originada da </w:t>
      </w:r>
      <w:proofErr w:type="spellStart"/>
      <w:r w:rsidRPr="003125E9">
        <w:t>pneumatização</w:t>
      </w:r>
      <w:proofErr w:type="spellEnd"/>
      <w:r w:rsidRPr="003125E9">
        <w:t xml:space="preserve"> da placa óssea que a compõe por extensão das células etmoidais, pode ser</w:t>
      </w:r>
      <w:r w:rsidR="00D47F2F">
        <w:t xml:space="preserve"> uni ou bilateral. </w:t>
      </w:r>
      <w:r w:rsidR="00790089">
        <w:t>Seus</w:t>
      </w:r>
      <w:r w:rsidR="00D47F2F">
        <w:t xml:space="preserve"> graus de </w:t>
      </w:r>
      <w:proofErr w:type="spellStart"/>
      <w:r w:rsidR="00D47F2F">
        <w:t>p</w:t>
      </w:r>
      <w:r w:rsidRPr="003125E9">
        <w:t>neumatização</w:t>
      </w:r>
      <w:proofErr w:type="spellEnd"/>
      <w:r w:rsidRPr="003125E9">
        <w:t xml:space="preserve"> são variados, podendo ocasionar obstrução do meato médio ou</w:t>
      </w:r>
      <w:r w:rsidR="005F57CC" w:rsidRPr="003125E9">
        <w:t xml:space="preserve"> do infundíbulo [9</w:t>
      </w:r>
      <w:r w:rsidRPr="003125E9">
        <w:t>].</w:t>
      </w:r>
    </w:p>
    <w:p w14:paraId="7CD3C943" w14:textId="581C1724" w:rsidR="00FF7816" w:rsidRPr="003125E9" w:rsidRDefault="00FF7816" w:rsidP="003125E9">
      <w:pPr>
        <w:widowControl w:val="0"/>
        <w:autoSpaceDE w:val="0"/>
        <w:autoSpaceDN w:val="0"/>
        <w:adjustRightInd w:val="0"/>
        <w:spacing w:line="480" w:lineRule="auto"/>
        <w:ind w:firstLine="720"/>
        <w:jc w:val="both"/>
      </w:pPr>
      <w:r w:rsidRPr="003125E9">
        <w:t xml:space="preserve">Com o objetivo de estudar a prevalência do desvio de septo nasal e concha média bolhosa e se </w:t>
      </w:r>
      <w:r w:rsidR="003770C4">
        <w:t>av</w:t>
      </w:r>
      <w:r w:rsidR="00F732D0">
        <w:t>al</w:t>
      </w:r>
      <w:r w:rsidR="003770C4">
        <w:t>iar</w:t>
      </w:r>
      <w:r w:rsidRPr="003125E9">
        <w:t xml:space="preserve"> uma possível relação entre ambos, este estudo baseou-se em imagens de tomografia computadorizada de feixe cônico, com indicações diversas, embasado na crescente solicitação desta modalidade de exames pela classe odontológica. </w:t>
      </w:r>
    </w:p>
    <w:p w14:paraId="63DD099F" w14:textId="7C361F8B" w:rsidR="00FF7816" w:rsidRPr="003125E9" w:rsidRDefault="00FF7816" w:rsidP="003125E9">
      <w:pPr>
        <w:widowControl w:val="0"/>
        <w:autoSpaceDE w:val="0"/>
        <w:autoSpaceDN w:val="0"/>
        <w:adjustRightInd w:val="0"/>
        <w:spacing w:line="480" w:lineRule="auto"/>
        <w:ind w:firstLine="720"/>
        <w:jc w:val="both"/>
      </w:pPr>
      <w:r w:rsidRPr="003125E9">
        <w:t>Neste estudo, a maioria (66,1%) dos indivíduos da amostra pertenc</w:t>
      </w:r>
      <w:r w:rsidR="00B2584C">
        <w:t>ia</w:t>
      </w:r>
      <w:r w:rsidRPr="003125E9">
        <w:t xml:space="preserve"> ao sexo feminino, </w:t>
      </w:r>
      <w:r w:rsidR="00B2584C">
        <w:t xml:space="preserve">em </w:t>
      </w:r>
      <w:r w:rsidRPr="003125E9">
        <w:t>estudos prévios</w:t>
      </w:r>
      <w:r w:rsidR="005F57CC" w:rsidRPr="003125E9">
        <w:t xml:space="preserve"> sobre o desvio do septo nasal [</w:t>
      </w:r>
      <w:r w:rsidR="00B2584C">
        <w:t>10,11,12,13,14]</w:t>
      </w:r>
      <w:r w:rsidR="003125E9" w:rsidRPr="003125E9">
        <w:t xml:space="preserve"> </w:t>
      </w:r>
      <w:r w:rsidRPr="003125E9">
        <w:t xml:space="preserve">houve </w:t>
      </w:r>
      <w:r w:rsidR="00B2584C">
        <w:t xml:space="preserve">a </w:t>
      </w:r>
      <w:r w:rsidRPr="003125E9">
        <w:t>prevalência do sexo masculino sobre o feminino, diferentemente do encontrado em nossa pesquisa. Esta preponderância em grande parte dos estudos com esta finalidade pode ser explicada pelo fato de que uma das mais comuns etiologias do desvio de septo está na presença de trauma nasal prévio, que ocorre em sua maioria em indivíduos do sexo masculino [</w:t>
      </w:r>
      <w:r w:rsidR="003125E9" w:rsidRPr="003125E9">
        <w:t>15</w:t>
      </w:r>
      <w:r w:rsidRPr="003125E9">
        <w:t xml:space="preserve">]. Em nosso estudo, </w:t>
      </w:r>
      <w:r w:rsidR="00B03B0F">
        <w:t xml:space="preserve">diferentemente, </w:t>
      </w:r>
      <w:r w:rsidRPr="003125E9">
        <w:t xml:space="preserve">grande parte da amostra era composta por exames com indicações de TCFC para implante e tratamento dentário protético, </w:t>
      </w:r>
      <w:r w:rsidR="00B2584C">
        <w:t xml:space="preserve">um </w:t>
      </w:r>
      <w:r w:rsidRPr="003125E9">
        <w:t>tipo de intervenções normalmente mais procuradas por indivíduos do sexo feminino, relacionado ao fator estético.</w:t>
      </w:r>
    </w:p>
    <w:p w14:paraId="31C70363" w14:textId="49150B63" w:rsidR="00FF7816" w:rsidRPr="003125E9" w:rsidRDefault="00FF7816" w:rsidP="003125E9">
      <w:pPr>
        <w:widowControl w:val="0"/>
        <w:autoSpaceDE w:val="0"/>
        <w:autoSpaceDN w:val="0"/>
        <w:adjustRightInd w:val="0"/>
        <w:spacing w:line="480" w:lineRule="auto"/>
        <w:ind w:firstLine="720"/>
        <w:jc w:val="both"/>
      </w:pPr>
      <w:r w:rsidRPr="003125E9">
        <w:t>Em relação às faixas etárias mais prevalentes, encontramos aquela</w:t>
      </w:r>
      <w:r w:rsidR="00961F10">
        <w:t>s</w:t>
      </w:r>
      <w:r w:rsidRPr="003125E9">
        <w:t xml:space="preserve"> correspondente</w:t>
      </w:r>
      <w:r w:rsidR="00961F10">
        <w:t>s</w:t>
      </w:r>
      <w:r w:rsidRPr="003125E9">
        <w:t xml:space="preserve"> à</w:t>
      </w:r>
      <w:r w:rsidR="00961F10">
        <w:t>s</w:t>
      </w:r>
      <w:r w:rsidRPr="003125E9">
        <w:t xml:space="preserve"> idade</w:t>
      </w:r>
      <w:r w:rsidR="00961F10">
        <w:t>s</w:t>
      </w:r>
      <w:r w:rsidRPr="003125E9">
        <w:t xml:space="preserve"> entre 31 a 40 anos (22,03%), seguida de 51 a 60 anos (21,2%), sendo a média das idades de 42 anos. Nosso </w:t>
      </w:r>
      <w:r w:rsidR="003125E9" w:rsidRPr="003125E9">
        <w:t>estudo corrobora em relação à mé</w:t>
      </w:r>
      <w:r w:rsidRPr="003125E9">
        <w:t>dia de idade prevalente com aquele feito por</w:t>
      </w:r>
      <w:r w:rsidR="008129F1">
        <w:t xml:space="preserve"> outros autores [10], nesse, </w:t>
      </w:r>
      <w:r w:rsidRPr="003125E9">
        <w:t>os autores analisaram 137 pacientes quanto à presença de desvio de septo nasal, encontrando também uma média de 42 anos</w:t>
      </w:r>
      <w:r w:rsidR="003125E9" w:rsidRPr="003125E9">
        <w:t xml:space="preserve">. </w:t>
      </w:r>
      <w:r w:rsidRPr="003125E9">
        <w:t xml:space="preserve">Divergimos, porém da média de idades encontradas em outros estudos </w:t>
      </w:r>
      <w:r w:rsidR="003125E9" w:rsidRPr="003125E9">
        <w:t>[11],</w:t>
      </w:r>
      <w:r w:rsidRPr="003125E9">
        <w:rPr>
          <w:i/>
        </w:rPr>
        <w:t xml:space="preserve"> </w:t>
      </w:r>
      <w:r w:rsidRPr="003125E9">
        <w:t xml:space="preserve"> os quais encontraram a presença do desvio do septo nasal em pacientes com médias de idades inferiores à nossa (entre 32 e 36 anos). Uma explicação para tal diferença poderia ser baseada no fato de que nos citados estudos, os pacientes pertencentes às amostras foram selecionados baseados na presença de sinais e sinto</w:t>
      </w:r>
      <w:r w:rsidR="00961F10">
        <w:t xml:space="preserve">mas relacionados à </w:t>
      </w:r>
      <w:proofErr w:type="spellStart"/>
      <w:r w:rsidR="00961F10">
        <w:t>rinopatias</w:t>
      </w:r>
      <w:proofErr w:type="spellEnd"/>
      <w:r w:rsidR="00961F10">
        <w:t>, sendo que</w:t>
      </w:r>
      <w:r w:rsidRPr="003125E9">
        <w:t xml:space="preserve"> a maior incidência dessas alterações acomete a 4</w:t>
      </w:r>
      <w:r w:rsidRPr="003125E9">
        <w:rPr>
          <w:vertAlign w:val="superscript"/>
        </w:rPr>
        <w:t>a</w:t>
      </w:r>
      <w:r w:rsidRPr="003125E9">
        <w:t xml:space="preserve"> década de vida. Diferentemente, em nosso estudo, a seleção da amostra foi realizad</w:t>
      </w:r>
      <w:r w:rsidR="00017649">
        <w:t>a em um arquivo de imagens de TCFC</w:t>
      </w:r>
      <w:r w:rsidRPr="003125E9">
        <w:t xml:space="preserve"> com diversas indicações odontológicas, dentre as quais</w:t>
      </w:r>
      <w:r w:rsidR="00017649">
        <w:t>,</w:t>
      </w:r>
      <w:r w:rsidRPr="003125E9">
        <w:t xml:space="preserve"> prevaleceu o planejamento de implantes dentários. Os pacientes que mais realizam </w:t>
      </w:r>
      <w:r w:rsidR="00017649">
        <w:t>este</w:t>
      </w:r>
      <w:r w:rsidRPr="003125E9">
        <w:t xml:space="preserve"> tratamento pertencem à faixa etária entre 5</w:t>
      </w:r>
      <w:r w:rsidRPr="003125E9">
        <w:rPr>
          <w:vertAlign w:val="superscript"/>
        </w:rPr>
        <w:t xml:space="preserve">a </w:t>
      </w:r>
      <w:r w:rsidRPr="003125E9">
        <w:t>e 7</w:t>
      </w:r>
      <w:r w:rsidRPr="00017649">
        <w:rPr>
          <w:vertAlign w:val="superscript"/>
        </w:rPr>
        <w:t>a</w:t>
      </w:r>
      <w:r w:rsidRPr="003125E9">
        <w:t xml:space="preserve"> décadas de vida, nas quais estão contidas as idades mais prevalentes encontradas neste estudo.</w:t>
      </w:r>
    </w:p>
    <w:p w14:paraId="3AD9B2A6" w14:textId="794230CF" w:rsidR="00FF7816" w:rsidRPr="003125E9" w:rsidRDefault="00FF7816" w:rsidP="003125E9">
      <w:pPr>
        <w:tabs>
          <w:tab w:val="left" w:pos="927"/>
        </w:tabs>
        <w:spacing w:line="480" w:lineRule="auto"/>
        <w:jc w:val="both"/>
      </w:pPr>
      <w:r w:rsidRPr="009C2395">
        <w:rPr>
          <w:rFonts w:ascii="Times New Roman" w:hAnsi="Times New Roman" w:cs="Times New Roman"/>
          <w:sz w:val="28"/>
          <w:szCs w:val="28"/>
        </w:rPr>
        <w:tab/>
      </w:r>
      <w:r w:rsidRPr="003125E9">
        <w:t>A maioria dos exames da amostra (60,17%) apresentou o desvio de septo nasal, não se observando, porém uma predileção significativa do mesmo para o lado di</w:t>
      </w:r>
      <w:r w:rsidR="00635B50">
        <w:t>reito ou esquerdo, assim como em outros</w:t>
      </w:r>
      <w:r w:rsidRPr="003125E9">
        <w:t xml:space="preserve"> estudos</w:t>
      </w:r>
      <w:r w:rsidR="00635B50">
        <w:t>,</w:t>
      </w:r>
      <w:r w:rsidRPr="003125E9">
        <w:t xml:space="preserve"> </w:t>
      </w:r>
      <w:r w:rsidR="00635B50">
        <w:t xml:space="preserve">que </w:t>
      </w:r>
      <w:r w:rsidRPr="003125E9">
        <w:t xml:space="preserve">também não enfatizam </w:t>
      </w:r>
      <w:r w:rsidR="006E67B7">
        <w:t>uma predileção</w:t>
      </w:r>
      <w:r w:rsidRPr="003125E9">
        <w:t xml:space="preserve"> do desvio do septo nasal para qualquer um dos lados [</w:t>
      </w:r>
      <w:r w:rsidR="003125E9">
        <w:t>10, 11, 12, 13, 14</w:t>
      </w:r>
      <w:r w:rsidRPr="003125E9">
        <w:t xml:space="preserve">]. </w:t>
      </w:r>
    </w:p>
    <w:p w14:paraId="4CA7614C" w14:textId="6BC185EA" w:rsidR="00FF7816" w:rsidRPr="009D3C38" w:rsidRDefault="00FF7816" w:rsidP="009D3C38">
      <w:pPr>
        <w:spacing w:line="480" w:lineRule="auto"/>
        <w:jc w:val="both"/>
      </w:pPr>
      <w:r w:rsidRPr="009C2395">
        <w:rPr>
          <w:rFonts w:ascii="Times New Roman" w:hAnsi="Times New Roman" w:cs="Times New Roman"/>
          <w:sz w:val="28"/>
          <w:szCs w:val="28"/>
        </w:rPr>
        <w:tab/>
      </w:r>
      <w:r w:rsidRPr="009D3C38">
        <w:t>Considerando-se a p</w:t>
      </w:r>
      <w:r w:rsidR="00723CCA">
        <w:t>resença da concha média bolhosa</w:t>
      </w:r>
      <w:r w:rsidRPr="009D3C38">
        <w:t xml:space="preserve"> </w:t>
      </w:r>
      <w:r w:rsidR="001D3B17">
        <w:t>neste</w:t>
      </w:r>
      <w:r w:rsidRPr="009D3C38">
        <w:t xml:space="preserve"> estudo, foi observada uma maior frequência (52,25%) de exames que apresentaram esta variação. A concha nasal média bolhosa corresponde à variação anatômica mais comum do complexo </w:t>
      </w:r>
      <w:proofErr w:type="spellStart"/>
      <w:r w:rsidRPr="009D3C38">
        <w:t>ostiomeatal</w:t>
      </w:r>
      <w:proofErr w:type="spellEnd"/>
      <w:r w:rsidRPr="009D3C38">
        <w:t>, sendo normalmente visibilizada acometendo o corneto nasal médio (incidência de 13 a 53,6%), sendo rara no corneto superior e ainda mais rara no corneto inferior com relato de apenas um caso na literatura [</w:t>
      </w:r>
      <w:r w:rsidR="00D6061F">
        <w:t>16, 17, 18</w:t>
      </w:r>
      <w:r w:rsidRPr="009D3C38">
        <w:t>]. Estudos prévios relatam que a incidência de concha média bilateral varia entre 45,0% a 61,5% [</w:t>
      </w:r>
      <w:r w:rsidR="00D6061F">
        <w:t>18, 19, 20</w:t>
      </w:r>
      <w:r w:rsidRPr="009D3C38">
        <w:t xml:space="preserve">], </w:t>
      </w:r>
      <w:r w:rsidR="00723CCA">
        <w:t>em no</w:t>
      </w:r>
      <w:r w:rsidR="00051911">
        <w:t>ssa pesquisa</w:t>
      </w:r>
      <w:r w:rsidRPr="009D3C38">
        <w:t xml:space="preserve">, observou-se que, dentre os casos em que houve a presença </w:t>
      </w:r>
      <w:r w:rsidR="00F73190">
        <w:t xml:space="preserve">de concha média bolhosa (52,25%) </w:t>
      </w:r>
      <w:r w:rsidRPr="009D3C38">
        <w:t>a maioria (66,12%) apresentou-se unilateral, o que diverge dos achados dos estudos descritos anteriormente</w:t>
      </w:r>
      <w:r w:rsidR="00642B29">
        <w:t xml:space="preserve"> </w:t>
      </w:r>
      <w:r w:rsidR="00642B29" w:rsidRPr="009D3C38">
        <w:t>[</w:t>
      </w:r>
      <w:r w:rsidR="00642B29">
        <w:t>18, 19, 20</w:t>
      </w:r>
      <w:r w:rsidR="00642B29">
        <w:t>]</w:t>
      </w:r>
      <w:r w:rsidRPr="009D3C38">
        <w:t>.</w:t>
      </w:r>
    </w:p>
    <w:p w14:paraId="4C4C7607" w14:textId="407E0227" w:rsidR="00FF7816" w:rsidRPr="00D6061F" w:rsidRDefault="00D6061F" w:rsidP="00D6061F">
      <w:pPr>
        <w:spacing w:line="480" w:lineRule="auto"/>
        <w:ind w:firstLine="720"/>
        <w:jc w:val="both"/>
      </w:pPr>
      <w:r>
        <w:t xml:space="preserve">Dentre os poucos </w:t>
      </w:r>
      <w:r w:rsidR="00332E9A">
        <w:t>trabalhos</w:t>
      </w:r>
      <w:r>
        <w:t xml:space="preserve"> que relacionam a</w:t>
      </w:r>
      <w:r w:rsidR="00FF7816" w:rsidRPr="00D6061F">
        <w:t xml:space="preserve"> presença de concha média bolhosa e a presença do desvio de septo nasal</w:t>
      </w:r>
      <w:r>
        <w:t xml:space="preserve">, cita-se aquele que encontrou </w:t>
      </w:r>
      <w:r w:rsidR="00F73190" w:rsidRPr="00D6061F">
        <w:t xml:space="preserve">alta </w:t>
      </w:r>
      <w:r w:rsidR="00FF7816" w:rsidRPr="00D6061F">
        <w:t>relação</w:t>
      </w:r>
      <w:r w:rsidR="00F73190">
        <w:t xml:space="preserve"> </w:t>
      </w:r>
      <w:r w:rsidR="00FF7816" w:rsidRPr="00D6061F">
        <w:t>entre a presença da concha média bolhosa e o desvio de septo para o lado contralateral</w:t>
      </w:r>
      <w:r>
        <w:t xml:space="preserve"> [20]</w:t>
      </w:r>
      <w:r w:rsidR="00FF7816" w:rsidRPr="00D6061F">
        <w:t xml:space="preserve">. Em nosso estudo, encontramos um resultado contrário, pois não se pode verificar relação entre estas variáveis (p=0,568), sendo ainda que quando se considerou apenas os casos em que houve desvio de septo nasal, a proporção que não apresentou a concha média bolhosa para o mesmo lado foi de 77,1% e a que apresentou também a concha média bolhosa para o mesmo lado foi de 22,9%. Enfatizamos </w:t>
      </w:r>
      <w:r>
        <w:t xml:space="preserve">que no citado estudo [20] </w:t>
      </w:r>
      <w:r w:rsidR="00FF7816" w:rsidRPr="00D6061F">
        <w:t xml:space="preserve">o critério de inclusão da amostra foi a presença do desvio de septo nasal, bem como queixa de obstrução nasal. Em nossa pesquisa, diferentemente, não tivemos acesso aos dados de anamneses dos pacientes, apenas às imagens de TCFC, sexo e idade em nossa amostra encontramos indivíduos com e sem desvio de septo nasal. </w:t>
      </w:r>
      <w:r w:rsidR="00332E9A">
        <w:t>C</w:t>
      </w:r>
      <w:r>
        <w:t xml:space="preserve">oncordamos com o esses estudo [20] </w:t>
      </w:r>
      <w:r w:rsidR="00FF7816" w:rsidRPr="00D6061F">
        <w:t xml:space="preserve">no que diz respeito ao fato de que o desvio de septo nasal não favorece a formação da concha média bolhosa. Salientamos que o grau de </w:t>
      </w:r>
      <w:proofErr w:type="spellStart"/>
      <w:r w:rsidR="00FF7816" w:rsidRPr="00D6061F">
        <w:t>pneumatização</w:t>
      </w:r>
      <w:proofErr w:type="spellEnd"/>
      <w:r w:rsidR="00FF7816" w:rsidRPr="00D6061F">
        <w:t xml:space="preserve"> da concha média, não foi considerado neste estudo, como </w:t>
      </w:r>
      <w:r w:rsidR="00332E9A">
        <w:t xml:space="preserve">foi </w:t>
      </w:r>
      <w:r w:rsidR="00FF7816" w:rsidRPr="00D6061F">
        <w:t>no realizado p</w:t>
      </w:r>
      <w:r w:rsidR="00332E9A">
        <w:t>or esses</w:t>
      </w:r>
      <w:r w:rsidR="00FF7816" w:rsidRPr="00D6061F">
        <w:t xml:space="preserve"> autores</w:t>
      </w:r>
      <w:r w:rsidR="00332E9A">
        <w:t>.</w:t>
      </w:r>
      <w:r w:rsidR="00FF7816" w:rsidRPr="00D6061F">
        <w:t xml:space="preserve"> </w:t>
      </w:r>
    </w:p>
    <w:p w14:paraId="2C58C715" w14:textId="514C75EC" w:rsidR="00FF7816" w:rsidRPr="00D6061F" w:rsidRDefault="00D6061F" w:rsidP="00D6061F">
      <w:pPr>
        <w:spacing w:line="480" w:lineRule="auto"/>
        <w:ind w:firstLine="720"/>
        <w:jc w:val="both"/>
      </w:pPr>
      <w:r>
        <w:t>Em um</w:t>
      </w:r>
      <w:r w:rsidR="00332E9A">
        <w:t>a</w:t>
      </w:r>
      <w:r>
        <w:t xml:space="preserve"> </w:t>
      </w:r>
      <w:r w:rsidR="00332E9A">
        <w:t>pesquisa realizada</w:t>
      </w:r>
      <w:r>
        <w:t xml:space="preserve"> sobre a incidência</w:t>
      </w:r>
      <w:r w:rsidR="00332E9A">
        <w:t xml:space="preserve"> da concha media bolhosa [21],</w:t>
      </w:r>
      <w:r>
        <w:t xml:space="preserve"> </w:t>
      </w:r>
      <w:r w:rsidR="00332E9A">
        <w:t xml:space="preserve">observou-se </w:t>
      </w:r>
      <w:r w:rsidR="00FF7816" w:rsidRPr="00D6061F">
        <w:t xml:space="preserve">que </w:t>
      </w:r>
      <w:r>
        <w:t>esta</w:t>
      </w:r>
      <w:r w:rsidR="00FF7816" w:rsidRPr="00D6061F">
        <w:t xml:space="preserve"> apresentou uma maior tendência a se desenvolver bilateralmente nos casos em que os pacientes não apresentavam desvio de septo nasal e, que, quando a concha nasal média bolhosa unilateral ocorria, nos casos de desvio de septo, ela apresentou uma maior frequência, para o lado contralateral, sugerindo que o desvio de septo nasal seria um fator a prevenir a ocorrência da concha média bolhosa para o lado </w:t>
      </w:r>
      <w:proofErr w:type="spellStart"/>
      <w:r w:rsidR="00FF7816" w:rsidRPr="00D6061F">
        <w:t>ipsilateral</w:t>
      </w:r>
      <w:proofErr w:type="spellEnd"/>
      <w:r w:rsidR="00FF7816" w:rsidRPr="00D6061F">
        <w:t>. Em nosso estudo, a ausência do desvio de septo pareceu também corresponder à ausência da concha média bolhosa, onde 73% da amostra em que houve o desvio, não apresentou a concha média bolhosa, não havendo, porém uma relação estatística entre ambas.</w:t>
      </w:r>
    </w:p>
    <w:p w14:paraId="2B155556" w14:textId="236815AB" w:rsidR="000F21B1" w:rsidRDefault="00D6061F" w:rsidP="000F21B1">
      <w:pPr>
        <w:autoSpaceDE w:val="0"/>
        <w:autoSpaceDN w:val="0"/>
        <w:adjustRightInd w:val="0"/>
        <w:spacing w:line="360" w:lineRule="auto"/>
        <w:jc w:val="both"/>
        <w:rPr>
          <w:rFonts w:ascii="Times New Roman" w:hAnsi="Times New Roman" w:cs="Times New Roman"/>
          <w:b/>
          <w:sz w:val="28"/>
          <w:szCs w:val="28"/>
        </w:rPr>
      </w:pPr>
      <w:proofErr w:type="spellStart"/>
      <w:r>
        <w:rPr>
          <w:rFonts w:ascii="Times New Roman" w:hAnsi="Times New Roman" w:cs="Times New Roman"/>
          <w:b/>
          <w:sz w:val="28"/>
          <w:szCs w:val="28"/>
        </w:rPr>
        <w:t>Conclusions</w:t>
      </w:r>
      <w:proofErr w:type="spellEnd"/>
    </w:p>
    <w:p w14:paraId="6F67E4DD" w14:textId="03DA1E3F" w:rsidR="00FF7816" w:rsidRDefault="00D6061F" w:rsidP="000E5B56">
      <w:pPr>
        <w:spacing w:line="480" w:lineRule="auto"/>
        <w:jc w:val="both"/>
      </w:pPr>
      <w:r w:rsidRPr="00D6061F">
        <w:t>Considerando-se a amostra estudada, os resultados obtidos neste</w:t>
      </w:r>
      <w:r>
        <w:t xml:space="preserve"> trabalho, pode-se concluir que a</w:t>
      </w:r>
      <w:r w:rsidRPr="00D6061F">
        <w:t xml:space="preserve"> maioria dos indivíduos da amostra apresentou desvio de septo nasal e concha media </w:t>
      </w:r>
      <w:r>
        <w:t>bolhosa,</w:t>
      </w:r>
      <w:r w:rsidRPr="00D6061F">
        <w:t xml:space="preserve"> sendo esta última em </w:t>
      </w:r>
      <w:r>
        <w:t xml:space="preserve">sua maioria unilateral. </w:t>
      </w:r>
      <w:r w:rsidRPr="00D6061F">
        <w:t>Não foi observada uma prevalência significativa pelo lado de ocorrência, tanto do desvio de septo, quanto da concha média bolhosa</w:t>
      </w:r>
      <w:r>
        <w:t>. Não</w:t>
      </w:r>
      <w:r w:rsidRPr="00D6061F">
        <w:t xml:space="preserve"> se </w:t>
      </w:r>
      <w:r>
        <w:t xml:space="preserve">observou </w:t>
      </w:r>
      <w:r w:rsidRPr="00D6061F">
        <w:t>uma correlação entre o desvio do septo nasal e a presença de concha média bolhosa.</w:t>
      </w:r>
    </w:p>
    <w:p w14:paraId="0EA2BAA0" w14:textId="77777777" w:rsidR="002E6D26" w:rsidRDefault="002E6D26" w:rsidP="000E5B56">
      <w:pPr>
        <w:spacing w:line="480" w:lineRule="auto"/>
        <w:jc w:val="both"/>
      </w:pPr>
    </w:p>
    <w:p w14:paraId="13DE50B0" w14:textId="77777777" w:rsidR="002E6D26" w:rsidRDefault="002E6D26" w:rsidP="000E5B56">
      <w:pPr>
        <w:spacing w:line="480" w:lineRule="auto"/>
        <w:jc w:val="both"/>
      </w:pPr>
    </w:p>
    <w:p w14:paraId="52CA2B21" w14:textId="77777777" w:rsidR="002E6D26" w:rsidRDefault="002E6D26" w:rsidP="000E5B56">
      <w:pPr>
        <w:spacing w:line="480" w:lineRule="auto"/>
        <w:jc w:val="both"/>
      </w:pPr>
    </w:p>
    <w:p w14:paraId="30E57DDC" w14:textId="77777777" w:rsidR="002E6D26" w:rsidRDefault="002E6D26" w:rsidP="000E5B56">
      <w:pPr>
        <w:spacing w:line="480" w:lineRule="auto"/>
        <w:jc w:val="both"/>
      </w:pPr>
    </w:p>
    <w:p w14:paraId="6F1A37D6" w14:textId="77777777" w:rsidR="002E6D26" w:rsidRDefault="002E6D26" w:rsidP="000E5B56">
      <w:pPr>
        <w:spacing w:line="480" w:lineRule="auto"/>
        <w:jc w:val="both"/>
      </w:pPr>
    </w:p>
    <w:p w14:paraId="5BDD018E" w14:textId="77777777" w:rsidR="002E6D26" w:rsidRDefault="002E6D26" w:rsidP="000E5B56">
      <w:pPr>
        <w:spacing w:line="480" w:lineRule="auto"/>
        <w:jc w:val="both"/>
      </w:pPr>
    </w:p>
    <w:p w14:paraId="48918551" w14:textId="77777777" w:rsidR="002E6D26" w:rsidRDefault="002E6D26" w:rsidP="000E5B56">
      <w:pPr>
        <w:spacing w:line="480" w:lineRule="auto"/>
        <w:jc w:val="both"/>
      </w:pPr>
    </w:p>
    <w:p w14:paraId="11B46160" w14:textId="77777777" w:rsidR="002E6D26" w:rsidRDefault="002E6D26" w:rsidP="000E5B56">
      <w:pPr>
        <w:spacing w:line="480" w:lineRule="auto"/>
        <w:jc w:val="both"/>
      </w:pPr>
    </w:p>
    <w:p w14:paraId="50085765" w14:textId="77777777" w:rsidR="002E6D26" w:rsidRDefault="002E6D26" w:rsidP="000E5B56">
      <w:pPr>
        <w:spacing w:line="480" w:lineRule="auto"/>
        <w:jc w:val="both"/>
      </w:pPr>
    </w:p>
    <w:p w14:paraId="5994FA20" w14:textId="77777777" w:rsidR="004612E0" w:rsidRDefault="004612E0" w:rsidP="000E5B56">
      <w:pPr>
        <w:spacing w:line="480" w:lineRule="auto"/>
        <w:jc w:val="both"/>
      </w:pPr>
    </w:p>
    <w:p w14:paraId="434C71D8" w14:textId="77777777" w:rsidR="004612E0" w:rsidRDefault="004612E0" w:rsidP="000E5B56">
      <w:pPr>
        <w:spacing w:line="480" w:lineRule="auto"/>
        <w:jc w:val="both"/>
      </w:pPr>
    </w:p>
    <w:p w14:paraId="7D54CE99" w14:textId="77777777" w:rsidR="00332E9A" w:rsidRDefault="00332E9A" w:rsidP="000E5B56">
      <w:pPr>
        <w:spacing w:line="480" w:lineRule="auto"/>
        <w:jc w:val="both"/>
      </w:pPr>
    </w:p>
    <w:p w14:paraId="3986CB0E" w14:textId="77777777" w:rsidR="00332E9A" w:rsidRDefault="00332E9A" w:rsidP="000E5B56">
      <w:pPr>
        <w:spacing w:line="480" w:lineRule="auto"/>
        <w:jc w:val="both"/>
      </w:pPr>
    </w:p>
    <w:p w14:paraId="03289B27" w14:textId="77777777" w:rsidR="00332E9A" w:rsidRDefault="00332E9A" w:rsidP="000E5B56">
      <w:pPr>
        <w:spacing w:line="480" w:lineRule="auto"/>
        <w:jc w:val="both"/>
      </w:pPr>
    </w:p>
    <w:p w14:paraId="47D4CA16" w14:textId="77777777" w:rsidR="00332E9A" w:rsidRDefault="00332E9A" w:rsidP="000E5B56">
      <w:pPr>
        <w:spacing w:line="480" w:lineRule="auto"/>
        <w:jc w:val="both"/>
      </w:pPr>
    </w:p>
    <w:p w14:paraId="49597A32" w14:textId="77777777" w:rsidR="00332E9A" w:rsidRDefault="00332E9A" w:rsidP="000E5B56">
      <w:pPr>
        <w:spacing w:line="480" w:lineRule="auto"/>
        <w:jc w:val="both"/>
      </w:pPr>
    </w:p>
    <w:p w14:paraId="08B1B698" w14:textId="77777777" w:rsidR="00332E9A" w:rsidRPr="000E5B56" w:rsidRDefault="00332E9A" w:rsidP="000E5B56">
      <w:pPr>
        <w:spacing w:line="480" w:lineRule="auto"/>
        <w:jc w:val="both"/>
      </w:pPr>
    </w:p>
    <w:p w14:paraId="2F9BACAC" w14:textId="53267B37" w:rsidR="00FF7816" w:rsidRDefault="00FF7816" w:rsidP="009836BA">
      <w:pPr>
        <w:autoSpaceDE w:val="0"/>
        <w:autoSpaceDN w:val="0"/>
        <w:adjustRightInd w:val="0"/>
        <w:spacing w:line="480" w:lineRule="auto"/>
        <w:jc w:val="both"/>
        <w:rPr>
          <w:rFonts w:ascii="Times New Roman" w:hAnsi="Times New Roman" w:cs="Times New Roman"/>
          <w:b/>
          <w:sz w:val="28"/>
          <w:szCs w:val="28"/>
        </w:rPr>
      </w:pPr>
      <w:proofErr w:type="spellStart"/>
      <w:r>
        <w:rPr>
          <w:rFonts w:ascii="Times New Roman" w:hAnsi="Times New Roman" w:cs="Times New Roman"/>
          <w:b/>
          <w:sz w:val="28"/>
          <w:szCs w:val="28"/>
        </w:rPr>
        <w:t>References</w:t>
      </w:r>
      <w:proofErr w:type="spellEnd"/>
    </w:p>
    <w:p w14:paraId="762C1A8B" w14:textId="43708C4B" w:rsidR="00640DC0" w:rsidRDefault="00640DC0" w:rsidP="005D66F3">
      <w:pPr>
        <w:spacing w:line="480" w:lineRule="auto"/>
        <w:jc w:val="both"/>
        <w:rPr>
          <w:lang w:val="en-US"/>
        </w:rPr>
      </w:pPr>
      <w:r>
        <w:rPr>
          <w:lang w:val="en-US"/>
        </w:rPr>
        <w:t xml:space="preserve">1. </w:t>
      </w:r>
      <w:r w:rsidRPr="00640DC0">
        <w:rPr>
          <w:lang w:val="en-US"/>
        </w:rPr>
        <w:t xml:space="preserve">Mozzo P, </w:t>
      </w:r>
      <w:proofErr w:type="spellStart"/>
      <w:r w:rsidRPr="00640DC0">
        <w:rPr>
          <w:lang w:val="en-US"/>
        </w:rPr>
        <w:t>Procacci</w:t>
      </w:r>
      <w:proofErr w:type="spellEnd"/>
      <w:r w:rsidRPr="00640DC0">
        <w:rPr>
          <w:lang w:val="en-US"/>
        </w:rPr>
        <w:t xml:space="preserve"> C, </w:t>
      </w:r>
      <w:proofErr w:type="spellStart"/>
      <w:r w:rsidRPr="00640DC0">
        <w:rPr>
          <w:lang w:val="en-US"/>
        </w:rPr>
        <w:t>Tacconi</w:t>
      </w:r>
      <w:proofErr w:type="spellEnd"/>
      <w:r w:rsidRPr="00640DC0">
        <w:rPr>
          <w:lang w:val="en-US"/>
        </w:rPr>
        <w:t xml:space="preserve"> A, Martini PT, </w:t>
      </w:r>
      <w:proofErr w:type="spellStart"/>
      <w:r w:rsidRPr="00640DC0">
        <w:rPr>
          <w:lang w:val="en-US"/>
        </w:rPr>
        <w:t>Andreis</w:t>
      </w:r>
      <w:proofErr w:type="spellEnd"/>
      <w:r w:rsidRPr="00640DC0">
        <w:rPr>
          <w:lang w:val="en-US"/>
        </w:rPr>
        <w:t xml:space="preserve"> IA. A new volumetric CT machine for dental imaging based on the cone-beam technique: preliminary results.</w:t>
      </w:r>
      <w:r>
        <w:rPr>
          <w:lang w:val="en-US"/>
        </w:rPr>
        <w:t xml:space="preserve"> </w:t>
      </w:r>
      <w:proofErr w:type="spellStart"/>
      <w:r w:rsidR="005D66F3">
        <w:rPr>
          <w:lang w:val="en-US"/>
        </w:rPr>
        <w:t>Eur</w:t>
      </w:r>
      <w:proofErr w:type="spellEnd"/>
      <w:r w:rsidR="005D66F3">
        <w:rPr>
          <w:lang w:val="en-US"/>
        </w:rPr>
        <w:t xml:space="preserve"> </w:t>
      </w:r>
      <w:proofErr w:type="spellStart"/>
      <w:r w:rsidR="005D66F3">
        <w:rPr>
          <w:lang w:val="en-US"/>
        </w:rPr>
        <w:t>Radiol</w:t>
      </w:r>
      <w:proofErr w:type="spellEnd"/>
      <w:r w:rsidR="005D66F3">
        <w:rPr>
          <w:lang w:val="en-US"/>
        </w:rPr>
        <w:t xml:space="preserve">. 1998; </w:t>
      </w:r>
      <w:r w:rsidRPr="00640DC0">
        <w:rPr>
          <w:lang w:val="en-US"/>
        </w:rPr>
        <w:t>8(9)</w:t>
      </w:r>
      <w:proofErr w:type="gramStart"/>
      <w:r w:rsidRPr="00640DC0">
        <w:rPr>
          <w:lang w:val="en-US"/>
        </w:rPr>
        <w:t>:1558</w:t>
      </w:r>
      <w:proofErr w:type="gramEnd"/>
      <w:r w:rsidRPr="00640DC0">
        <w:rPr>
          <w:lang w:val="en-US"/>
        </w:rPr>
        <w:t>-64.</w:t>
      </w:r>
    </w:p>
    <w:p w14:paraId="1503304C" w14:textId="12BAE2A3" w:rsidR="00640DC0" w:rsidRDefault="00640DC0" w:rsidP="005D66F3">
      <w:pPr>
        <w:spacing w:line="480" w:lineRule="auto"/>
        <w:jc w:val="both"/>
        <w:rPr>
          <w:lang w:val="en-US"/>
        </w:rPr>
      </w:pPr>
      <w:r>
        <w:rPr>
          <w:lang w:val="en-US"/>
        </w:rPr>
        <w:t xml:space="preserve">2. </w:t>
      </w:r>
      <w:proofErr w:type="spellStart"/>
      <w:r>
        <w:rPr>
          <w:lang w:val="en-US"/>
        </w:rPr>
        <w:t>Scarfe</w:t>
      </w:r>
      <w:proofErr w:type="spellEnd"/>
      <w:r>
        <w:rPr>
          <w:lang w:val="en-US"/>
        </w:rPr>
        <w:t xml:space="preserve"> WC</w:t>
      </w:r>
      <w:r w:rsidRPr="00640DC0">
        <w:rPr>
          <w:lang w:val="en-US"/>
        </w:rPr>
        <w:t xml:space="preserve">, Farman AG, </w:t>
      </w:r>
      <w:proofErr w:type="spellStart"/>
      <w:r w:rsidRPr="00640DC0">
        <w:rPr>
          <w:lang w:val="en-US"/>
        </w:rPr>
        <w:t>Sukovic</w:t>
      </w:r>
      <w:proofErr w:type="spellEnd"/>
      <w:r w:rsidRPr="00640DC0">
        <w:rPr>
          <w:lang w:val="en-US"/>
        </w:rPr>
        <w:t xml:space="preserve"> P.</w:t>
      </w:r>
      <w:r>
        <w:rPr>
          <w:lang w:val="en-US"/>
        </w:rPr>
        <w:t xml:space="preserve"> </w:t>
      </w:r>
      <w:r w:rsidRPr="00640DC0">
        <w:rPr>
          <w:lang w:val="en-US"/>
        </w:rPr>
        <w:t>Clinical applications of cone-beam computed tomography in dental practice.</w:t>
      </w:r>
      <w:r>
        <w:rPr>
          <w:lang w:val="en-US"/>
        </w:rPr>
        <w:t xml:space="preserve"> </w:t>
      </w:r>
      <w:r w:rsidRPr="00640DC0">
        <w:rPr>
          <w:lang w:val="en-US"/>
        </w:rPr>
        <w:t>J Can Dent Assoc. 2006 Feb</w:t>
      </w:r>
      <w:proofErr w:type="gramStart"/>
      <w:r w:rsidRPr="00640DC0">
        <w:rPr>
          <w:lang w:val="en-US"/>
        </w:rPr>
        <w:t>;72</w:t>
      </w:r>
      <w:proofErr w:type="gramEnd"/>
      <w:r w:rsidRPr="00640DC0">
        <w:rPr>
          <w:lang w:val="en-US"/>
        </w:rPr>
        <w:t>(1):75-80.</w:t>
      </w:r>
    </w:p>
    <w:p w14:paraId="2E3B258D" w14:textId="77777777" w:rsidR="00132C5D" w:rsidRDefault="00640DC0" w:rsidP="005D66F3">
      <w:pPr>
        <w:spacing w:line="480" w:lineRule="auto"/>
        <w:jc w:val="both"/>
        <w:rPr>
          <w:lang w:val="en-US"/>
        </w:rPr>
      </w:pPr>
      <w:r>
        <w:rPr>
          <w:lang w:val="en-US"/>
        </w:rPr>
        <w:t xml:space="preserve">3. </w:t>
      </w:r>
      <w:proofErr w:type="spellStart"/>
      <w:r w:rsidR="00132C5D">
        <w:rPr>
          <w:lang w:val="en-US"/>
        </w:rPr>
        <w:t>Pette</w:t>
      </w:r>
      <w:proofErr w:type="spellEnd"/>
      <w:r w:rsidR="00132C5D">
        <w:rPr>
          <w:lang w:val="en-US"/>
        </w:rPr>
        <w:t xml:space="preserve"> GA</w:t>
      </w:r>
      <w:r w:rsidR="00132C5D" w:rsidRPr="00132C5D">
        <w:rPr>
          <w:lang w:val="en-US"/>
        </w:rPr>
        <w:t xml:space="preserve">, </w:t>
      </w:r>
      <w:proofErr w:type="spellStart"/>
      <w:r w:rsidR="00132C5D" w:rsidRPr="00132C5D">
        <w:rPr>
          <w:lang w:val="en-US"/>
        </w:rPr>
        <w:t>Norkin</w:t>
      </w:r>
      <w:proofErr w:type="spellEnd"/>
      <w:r w:rsidR="00132C5D" w:rsidRPr="00132C5D">
        <w:rPr>
          <w:lang w:val="en-US"/>
        </w:rPr>
        <w:t xml:space="preserve"> FJ, </w:t>
      </w:r>
      <w:proofErr w:type="spellStart"/>
      <w:r w:rsidR="00132C5D" w:rsidRPr="00132C5D">
        <w:rPr>
          <w:lang w:val="en-US"/>
        </w:rPr>
        <w:t>Ganeles</w:t>
      </w:r>
      <w:proofErr w:type="spellEnd"/>
      <w:r w:rsidR="00132C5D" w:rsidRPr="00132C5D">
        <w:rPr>
          <w:lang w:val="en-US"/>
        </w:rPr>
        <w:t xml:space="preserve"> J, </w:t>
      </w:r>
      <w:proofErr w:type="spellStart"/>
      <w:r w:rsidR="00132C5D" w:rsidRPr="00132C5D">
        <w:rPr>
          <w:lang w:val="en-US"/>
        </w:rPr>
        <w:t>Hardigan</w:t>
      </w:r>
      <w:proofErr w:type="spellEnd"/>
      <w:r w:rsidR="00132C5D" w:rsidRPr="00132C5D">
        <w:rPr>
          <w:lang w:val="en-US"/>
        </w:rPr>
        <w:t xml:space="preserve"> P, </w:t>
      </w:r>
      <w:proofErr w:type="spellStart"/>
      <w:r w:rsidR="00132C5D" w:rsidRPr="00132C5D">
        <w:rPr>
          <w:lang w:val="en-US"/>
        </w:rPr>
        <w:t>Lask</w:t>
      </w:r>
      <w:proofErr w:type="spellEnd"/>
      <w:r w:rsidR="00132C5D" w:rsidRPr="00132C5D">
        <w:rPr>
          <w:lang w:val="en-US"/>
        </w:rPr>
        <w:t xml:space="preserve"> E, </w:t>
      </w:r>
      <w:proofErr w:type="spellStart"/>
      <w:r w:rsidR="00132C5D" w:rsidRPr="00132C5D">
        <w:rPr>
          <w:lang w:val="en-US"/>
        </w:rPr>
        <w:t>Zfaz</w:t>
      </w:r>
      <w:proofErr w:type="spellEnd"/>
      <w:r w:rsidR="00132C5D" w:rsidRPr="00132C5D">
        <w:rPr>
          <w:lang w:val="en-US"/>
        </w:rPr>
        <w:t xml:space="preserve"> S, Parker W.</w:t>
      </w:r>
      <w:r w:rsidR="00132C5D">
        <w:rPr>
          <w:lang w:val="en-US"/>
        </w:rPr>
        <w:t xml:space="preserve"> </w:t>
      </w:r>
      <w:r w:rsidR="00132C5D" w:rsidRPr="00132C5D">
        <w:rPr>
          <w:lang w:val="en-US"/>
        </w:rPr>
        <w:t xml:space="preserve">Incidental findings from a retrospective study of </w:t>
      </w:r>
      <w:proofErr w:type="gramStart"/>
      <w:r w:rsidR="00132C5D" w:rsidRPr="00132C5D">
        <w:rPr>
          <w:lang w:val="en-US"/>
        </w:rPr>
        <w:t>318 cone</w:t>
      </w:r>
      <w:proofErr w:type="gramEnd"/>
      <w:r w:rsidR="00132C5D" w:rsidRPr="00132C5D">
        <w:rPr>
          <w:lang w:val="en-US"/>
        </w:rPr>
        <w:t xml:space="preserve"> beam computed</w:t>
      </w:r>
      <w:r w:rsidR="00132C5D">
        <w:rPr>
          <w:lang w:val="en-US"/>
        </w:rPr>
        <w:t xml:space="preserve"> </w:t>
      </w:r>
      <w:r w:rsidR="00132C5D" w:rsidRPr="00132C5D">
        <w:rPr>
          <w:lang w:val="en-US"/>
        </w:rPr>
        <w:t>tomography consultation reports.</w:t>
      </w:r>
      <w:r w:rsidR="00132C5D">
        <w:rPr>
          <w:lang w:val="en-US"/>
        </w:rPr>
        <w:t xml:space="preserve"> </w:t>
      </w:r>
      <w:proofErr w:type="spellStart"/>
      <w:proofErr w:type="gramStart"/>
      <w:r w:rsidR="00132C5D" w:rsidRPr="00132C5D">
        <w:rPr>
          <w:lang w:val="en-US"/>
        </w:rPr>
        <w:t>Int</w:t>
      </w:r>
      <w:proofErr w:type="spellEnd"/>
      <w:r w:rsidR="00132C5D" w:rsidRPr="00132C5D">
        <w:rPr>
          <w:lang w:val="en-US"/>
        </w:rPr>
        <w:t xml:space="preserve"> J Oral </w:t>
      </w:r>
      <w:proofErr w:type="spellStart"/>
      <w:r w:rsidR="00132C5D" w:rsidRPr="00132C5D">
        <w:rPr>
          <w:lang w:val="en-US"/>
        </w:rPr>
        <w:t>Maxillofac</w:t>
      </w:r>
      <w:proofErr w:type="spellEnd"/>
      <w:r w:rsidR="00132C5D" w:rsidRPr="00132C5D">
        <w:rPr>
          <w:lang w:val="en-US"/>
        </w:rPr>
        <w:t xml:space="preserve"> Implants.</w:t>
      </w:r>
      <w:proofErr w:type="gramEnd"/>
      <w:r w:rsidR="00132C5D" w:rsidRPr="00132C5D">
        <w:rPr>
          <w:lang w:val="en-US"/>
        </w:rPr>
        <w:t xml:space="preserve"> 2012 May-Jun</w:t>
      </w:r>
      <w:proofErr w:type="gramStart"/>
      <w:r w:rsidR="00132C5D" w:rsidRPr="00132C5D">
        <w:rPr>
          <w:lang w:val="en-US"/>
        </w:rPr>
        <w:t>;27</w:t>
      </w:r>
      <w:proofErr w:type="gramEnd"/>
      <w:r w:rsidR="00132C5D" w:rsidRPr="00132C5D">
        <w:rPr>
          <w:lang w:val="en-US"/>
        </w:rPr>
        <w:t>(3):595-603.</w:t>
      </w:r>
    </w:p>
    <w:p w14:paraId="3A0C20EB" w14:textId="46A99E25" w:rsidR="00990A75" w:rsidRDefault="00132C5D" w:rsidP="005D66F3">
      <w:pPr>
        <w:spacing w:line="480" w:lineRule="auto"/>
        <w:jc w:val="both"/>
        <w:rPr>
          <w:lang w:val="en-US"/>
        </w:rPr>
      </w:pPr>
      <w:r>
        <w:rPr>
          <w:lang w:val="en-US"/>
        </w:rPr>
        <w:t xml:space="preserve">4. </w:t>
      </w:r>
      <w:proofErr w:type="spellStart"/>
      <w:r w:rsidR="00990A75">
        <w:rPr>
          <w:lang w:val="en-US"/>
        </w:rPr>
        <w:t>Pliska</w:t>
      </w:r>
      <w:proofErr w:type="spellEnd"/>
      <w:r w:rsidR="00990A75">
        <w:rPr>
          <w:lang w:val="en-US"/>
        </w:rPr>
        <w:t xml:space="preserve"> B</w:t>
      </w:r>
      <w:r w:rsidR="00990A75" w:rsidRPr="00990A75">
        <w:rPr>
          <w:lang w:val="en-US"/>
        </w:rPr>
        <w:t xml:space="preserve">, </w:t>
      </w:r>
      <w:proofErr w:type="spellStart"/>
      <w:r w:rsidR="00990A75" w:rsidRPr="00990A75">
        <w:rPr>
          <w:lang w:val="en-US"/>
        </w:rPr>
        <w:t>DeRocher</w:t>
      </w:r>
      <w:proofErr w:type="spellEnd"/>
      <w:r w:rsidR="00990A75" w:rsidRPr="00990A75">
        <w:rPr>
          <w:lang w:val="en-US"/>
        </w:rPr>
        <w:t xml:space="preserve"> M, Larson BE.</w:t>
      </w:r>
      <w:r w:rsidR="00990A75">
        <w:rPr>
          <w:lang w:val="en-US"/>
        </w:rPr>
        <w:t xml:space="preserve"> </w:t>
      </w:r>
      <w:r w:rsidR="00990A75" w:rsidRPr="00990A75">
        <w:rPr>
          <w:lang w:val="en-US"/>
        </w:rPr>
        <w:t xml:space="preserve">Incidence of significant findings on CBCT </w:t>
      </w:r>
      <w:r w:rsidR="00990A75">
        <w:rPr>
          <w:lang w:val="en-US"/>
        </w:rPr>
        <w:t xml:space="preserve">scans of an orthodontic patient </w:t>
      </w:r>
      <w:r w:rsidR="00990A75" w:rsidRPr="00990A75">
        <w:rPr>
          <w:lang w:val="en-US"/>
        </w:rPr>
        <w:t>population.</w:t>
      </w:r>
      <w:r w:rsidR="00990A75">
        <w:rPr>
          <w:lang w:val="en-US"/>
        </w:rPr>
        <w:t xml:space="preserve"> </w:t>
      </w:r>
      <w:r w:rsidR="00990A75" w:rsidRPr="00990A75">
        <w:rPr>
          <w:lang w:val="en-US"/>
        </w:rPr>
        <w:t>Northwest Dent. 2011 Mar-Apr</w:t>
      </w:r>
      <w:proofErr w:type="gramStart"/>
      <w:r w:rsidR="00990A75" w:rsidRPr="00990A75">
        <w:rPr>
          <w:lang w:val="en-US"/>
        </w:rPr>
        <w:t>;90</w:t>
      </w:r>
      <w:proofErr w:type="gramEnd"/>
      <w:r w:rsidR="00990A75" w:rsidRPr="00990A75">
        <w:rPr>
          <w:lang w:val="en-US"/>
        </w:rPr>
        <w:t>(2):12-6.</w:t>
      </w:r>
    </w:p>
    <w:p w14:paraId="6F829A9B" w14:textId="1A1C3D83" w:rsidR="009A4684" w:rsidRDefault="00990A75" w:rsidP="005D66F3">
      <w:pPr>
        <w:spacing w:line="480" w:lineRule="auto"/>
        <w:jc w:val="both"/>
        <w:rPr>
          <w:lang w:val="en-US"/>
        </w:rPr>
      </w:pPr>
      <w:r>
        <w:rPr>
          <w:lang w:val="en-US"/>
        </w:rPr>
        <w:t xml:space="preserve">5. </w:t>
      </w:r>
      <w:proofErr w:type="spellStart"/>
      <w:r w:rsidR="009A4684">
        <w:rPr>
          <w:lang w:val="en-US"/>
        </w:rPr>
        <w:t>Scarfe</w:t>
      </w:r>
      <w:proofErr w:type="spellEnd"/>
      <w:r w:rsidR="009A4684">
        <w:rPr>
          <w:lang w:val="en-US"/>
        </w:rPr>
        <w:t xml:space="preserve"> WC</w:t>
      </w:r>
      <w:r w:rsidR="009A4684" w:rsidRPr="009A4684">
        <w:rPr>
          <w:lang w:val="en-US"/>
        </w:rPr>
        <w:t xml:space="preserve">, Farman AG, </w:t>
      </w:r>
      <w:proofErr w:type="spellStart"/>
      <w:r w:rsidR="009A4684" w:rsidRPr="009A4684">
        <w:rPr>
          <w:lang w:val="en-US"/>
        </w:rPr>
        <w:t>Sukovic</w:t>
      </w:r>
      <w:proofErr w:type="spellEnd"/>
      <w:r w:rsidR="009A4684" w:rsidRPr="009A4684">
        <w:rPr>
          <w:lang w:val="en-US"/>
        </w:rPr>
        <w:t xml:space="preserve"> P.</w:t>
      </w:r>
      <w:r w:rsidR="009A4684">
        <w:rPr>
          <w:lang w:val="en-US"/>
        </w:rPr>
        <w:t xml:space="preserve"> </w:t>
      </w:r>
      <w:r w:rsidR="009A4684" w:rsidRPr="009A4684">
        <w:rPr>
          <w:lang w:val="en-US"/>
        </w:rPr>
        <w:t>Clinical applications of cone-beam computed tomography in dental practice.</w:t>
      </w:r>
      <w:r w:rsidR="009A4684">
        <w:rPr>
          <w:lang w:val="en-US"/>
        </w:rPr>
        <w:t xml:space="preserve"> </w:t>
      </w:r>
      <w:r w:rsidR="009A4684" w:rsidRPr="009A4684">
        <w:rPr>
          <w:lang w:val="en-US"/>
        </w:rPr>
        <w:t>J Can Dent Assoc. 2006 Feb</w:t>
      </w:r>
      <w:proofErr w:type="gramStart"/>
      <w:r w:rsidR="009A4684" w:rsidRPr="009A4684">
        <w:rPr>
          <w:lang w:val="en-US"/>
        </w:rPr>
        <w:t>;72</w:t>
      </w:r>
      <w:proofErr w:type="gramEnd"/>
      <w:r w:rsidR="009A4684" w:rsidRPr="009A4684">
        <w:rPr>
          <w:lang w:val="en-US"/>
        </w:rPr>
        <w:t>(1):75-80.</w:t>
      </w:r>
    </w:p>
    <w:p w14:paraId="6EFC0043" w14:textId="1EABFA8B" w:rsidR="00C930AF" w:rsidRDefault="00C930AF" w:rsidP="005D66F3">
      <w:pPr>
        <w:spacing w:line="480" w:lineRule="auto"/>
        <w:jc w:val="both"/>
      </w:pPr>
      <w:r>
        <w:rPr>
          <w:lang w:val="en-US"/>
        </w:rPr>
        <w:t xml:space="preserve">6. </w:t>
      </w:r>
      <w:proofErr w:type="spellStart"/>
      <w:r>
        <w:t>Maniglia</w:t>
      </w:r>
      <w:proofErr w:type="spellEnd"/>
      <w:r>
        <w:t xml:space="preserve"> JV,</w:t>
      </w:r>
      <w:r w:rsidRPr="005F57CC">
        <w:t xml:space="preserve"> Molina, </w:t>
      </w:r>
      <w:r>
        <w:t>FD,</w:t>
      </w:r>
      <w:r w:rsidRPr="005F57CC">
        <w:t xml:space="preserve"> </w:t>
      </w:r>
      <w:proofErr w:type="spellStart"/>
      <w:r w:rsidRPr="005F57CC">
        <w:t>Maniglia</w:t>
      </w:r>
      <w:proofErr w:type="spellEnd"/>
      <w:r w:rsidRPr="005F57CC">
        <w:t xml:space="preserve"> </w:t>
      </w:r>
      <w:r>
        <w:t xml:space="preserve">LP, </w:t>
      </w:r>
      <w:proofErr w:type="spellStart"/>
      <w:r>
        <w:t>Maniglia</w:t>
      </w:r>
      <w:proofErr w:type="spellEnd"/>
      <w:r>
        <w:t xml:space="preserve"> CP</w:t>
      </w:r>
      <w:r w:rsidRPr="005F57CC">
        <w:t xml:space="preserve">. </w:t>
      </w:r>
      <w:proofErr w:type="spellStart"/>
      <w:r w:rsidRPr="005F57CC">
        <w:rPr>
          <w:rStyle w:val="article-title"/>
        </w:rPr>
        <w:t>Rinosseptoplastia</w:t>
      </w:r>
      <w:proofErr w:type="spellEnd"/>
      <w:r w:rsidRPr="005F57CC">
        <w:rPr>
          <w:rStyle w:val="article-title"/>
        </w:rPr>
        <w:t xml:space="preserve"> em crianças.</w:t>
      </w:r>
      <w:r w:rsidRPr="005F57CC">
        <w:rPr>
          <w:rStyle w:val="apple-converted-space"/>
          <w:iCs/>
        </w:rPr>
        <w:t> </w:t>
      </w:r>
      <w:proofErr w:type="spellStart"/>
      <w:r w:rsidR="007F22CE">
        <w:rPr>
          <w:iCs/>
        </w:rPr>
        <w:t>Rev</w:t>
      </w:r>
      <w:proofErr w:type="spellEnd"/>
      <w:r w:rsidR="007F22CE">
        <w:rPr>
          <w:iCs/>
        </w:rPr>
        <w:t xml:space="preserve"> </w:t>
      </w:r>
      <w:proofErr w:type="spellStart"/>
      <w:r w:rsidR="007F22CE">
        <w:rPr>
          <w:iCs/>
        </w:rPr>
        <w:t>Bras</w:t>
      </w:r>
      <w:proofErr w:type="spellEnd"/>
      <w:r w:rsidR="007F22CE">
        <w:rPr>
          <w:iCs/>
        </w:rPr>
        <w:t xml:space="preserve"> </w:t>
      </w:r>
      <w:proofErr w:type="spellStart"/>
      <w:r>
        <w:rPr>
          <w:iCs/>
        </w:rPr>
        <w:t>Otorrinolaringol</w:t>
      </w:r>
      <w:proofErr w:type="spellEnd"/>
      <w:r w:rsidR="007F22CE">
        <w:t>. 2002;</w:t>
      </w:r>
      <w:r w:rsidRPr="005F57CC">
        <w:t xml:space="preserve"> </w:t>
      </w:r>
      <w:r>
        <w:t>68(3):</w:t>
      </w:r>
      <w:r w:rsidRPr="005F57CC">
        <w:t>320-323.</w:t>
      </w:r>
    </w:p>
    <w:p w14:paraId="5DDB12DC" w14:textId="66114DAB" w:rsidR="007F22CE" w:rsidRDefault="007F22CE" w:rsidP="005D66F3">
      <w:pPr>
        <w:spacing w:line="480" w:lineRule="auto"/>
        <w:jc w:val="both"/>
      </w:pPr>
      <w:r>
        <w:t xml:space="preserve">7. </w:t>
      </w:r>
      <w:proofErr w:type="spellStart"/>
      <w:r>
        <w:t>Kinsui</w:t>
      </w:r>
      <w:proofErr w:type="spellEnd"/>
      <w:r w:rsidRPr="005F57CC">
        <w:t xml:space="preserve"> </w:t>
      </w:r>
      <w:r>
        <w:t>MM, Guilherme A, Yamashita HK.</w:t>
      </w:r>
      <w:r w:rsidRPr="005F57CC">
        <w:t xml:space="preserve"> </w:t>
      </w:r>
      <w:r w:rsidRPr="005F57CC">
        <w:rPr>
          <w:rStyle w:val="article-title"/>
        </w:rPr>
        <w:t xml:space="preserve">Variações anatômicas e </w:t>
      </w:r>
      <w:proofErr w:type="spellStart"/>
      <w:r w:rsidRPr="005F57CC">
        <w:rPr>
          <w:rStyle w:val="article-title"/>
        </w:rPr>
        <w:t>sinusopatias</w:t>
      </w:r>
      <w:proofErr w:type="spellEnd"/>
      <w:r w:rsidRPr="005F57CC">
        <w:rPr>
          <w:rStyle w:val="article-title"/>
        </w:rPr>
        <w:t>: estudo por tomografia computadorizada.</w:t>
      </w:r>
      <w:r w:rsidRPr="005F57CC">
        <w:rPr>
          <w:rStyle w:val="apple-converted-space"/>
          <w:iCs/>
        </w:rPr>
        <w:t> </w:t>
      </w:r>
      <w:proofErr w:type="spellStart"/>
      <w:r>
        <w:rPr>
          <w:iCs/>
        </w:rPr>
        <w:t>Rev</w:t>
      </w:r>
      <w:proofErr w:type="spellEnd"/>
      <w:r w:rsidRPr="005F57CC">
        <w:rPr>
          <w:iCs/>
        </w:rPr>
        <w:t xml:space="preserve"> Bras. </w:t>
      </w:r>
      <w:proofErr w:type="spellStart"/>
      <w:r w:rsidRPr="005F57CC">
        <w:rPr>
          <w:iCs/>
        </w:rPr>
        <w:t>Otorrinolaringol</w:t>
      </w:r>
      <w:proofErr w:type="spellEnd"/>
      <w:r w:rsidRPr="005F57CC">
        <w:rPr>
          <w:iCs/>
        </w:rPr>
        <w:t>.</w:t>
      </w:r>
      <w:r>
        <w:t xml:space="preserve"> 2002; 68 (</w:t>
      </w:r>
      <w:r w:rsidRPr="005F57CC">
        <w:t>5</w:t>
      </w:r>
      <w:r>
        <w:t xml:space="preserve">): </w:t>
      </w:r>
      <w:r w:rsidRPr="005F57CC">
        <w:t>645-652.</w:t>
      </w:r>
    </w:p>
    <w:p w14:paraId="40DD88EA" w14:textId="641859A7" w:rsidR="007F22CE" w:rsidRDefault="007F22CE" w:rsidP="005D66F3">
      <w:pPr>
        <w:spacing w:line="480" w:lineRule="auto"/>
        <w:jc w:val="both"/>
      </w:pPr>
      <w:r>
        <w:t xml:space="preserve">8. </w:t>
      </w:r>
      <w:r w:rsidR="0036010A" w:rsidRPr="009C2395">
        <w:rPr>
          <w:lang w:val="en-US"/>
        </w:rPr>
        <w:t xml:space="preserve">Aziz T, </w:t>
      </w:r>
      <w:proofErr w:type="spellStart"/>
      <w:r w:rsidR="0036010A" w:rsidRPr="009C2395">
        <w:rPr>
          <w:lang w:val="en-US"/>
        </w:rPr>
        <w:t>Biron</w:t>
      </w:r>
      <w:proofErr w:type="spellEnd"/>
      <w:r w:rsidR="0036010A" w:rsidRPr="009C2395">
        <w:rPr>
          <w:lang w:val="en-US"/>
        </w:rPr>
        <w:t xml:space="preserve"> VL, Ansari K, Flores-Mir C. Measurement tools for the diagnosis of nasal </w:t>
      </w:r>
      <w:proofErr w:type="spellStart"/>
      <w:r w:rsidR="0036010A" w:rsidRPr="009C2395">
        <w:rPr>
          <w:lang w:val="en-US"/>
        </w:rPr>
        <w:t>septal</w:t>
      </w:r>
      <w:proofErr w:type="spellEnd"/>
      <w:r w:rsidR="0036010A" w:rsidRPr="009C2395">
        <w:rPr>
          <w:lang w:val="en-US"/>
        </w:rPr>
        <w:t xml:space="preserve"> deviation: a systematic review. J </w:t>
      </w:r>
      <w:proofErr w:type="spellStart"/>
      <w:r w:rsidR="0036010A" w:rsidRPr="009C2395">
        <w:rPr>
          <w:lang w:val="en-US"/>
        </w:rPr>
        <w:t>Otolaryngol</w:t>
      </w:r>
      <w:proofErr w:type="spellEnd"/>
      <w:r w:rsidR="0036010A" w:rsidRPr="009C2395">
        <w:rPr>
          <w:lang w:val="en-US"/>
        </w:rPr>
        <w:t xml:space="preserve"> Hea</w:t>
      </w:r>
      <w:r w:rsidR="0036010A">
        <w:rPr>
          <w:lang w:val="en-US"/>
        </w:rPr>
        <w:t>d Neck Surg. 2014 Apr; 24 (43)</w:t>
      </w:r>
      <w:proofErr w:type="gramStart"/>
      <w:r w:rsidR="0036010A">
        <w:rPr>
          <w:lang w:val="en-US"/>
        </w:rPr>
        <w:t>:11</w:t>
      </w:r>
      <w:proofErr w:type="gramEnd"/>
      <w:r w:rsidR="0036010A">
        <w:rPr>
          <w:lang w:val="en-US"/>
        </w:rPr>
        <w:t>.</w:t>
      </w:r>
    </w:p>
    <w:p w14:paraId="161DA3D5" w14:textId="77777777" w:rsidR="00E77AA3" w:rsidRDefault="00E77AA3" w:rsidP="005D66F3">
      <w:pPr>
        <w:spacing w:line="480" w:lineRule="auto"/>
        <w:jc w:val="both"/>
        <w:rPr>
          <w:lang w:val="en-US"/>
        </w:rPr>
      </w:pPr>
      <w:r>
        <w:rPr>
          <w:lang w:val="en-US"/>
        </w:rPr>
        <w:t xml:space="preserve">9. </w:t>
      </w:r>
      <w:r w:rsidRPr="00687214">
        <w:rPr>
          <w:lang w:val="en-US"/>
        </w:rPr>
        <w:t xml:space="preserve">Miranda CMNR, </w:t>
      </w:r>
      <w:proofErr w:type="spellStart"/>
      <w:r w:rsidRPr="00687214">
        <w:rPr>
          <w:lang w:val="en-US"/>
        </w:rPr>
        <w:t>Maranhão</w:t>
      </w:r>
      <w:proofErr w:type="spellEnd"/>
      <w:r w:rsidRPr="00687214">
        <w:rPr>
          <w:lang w:val="en-US"/>
        </w:rPr>
        <w:t xml:space="preserve"> CPM, </w:t>
      </w:r>
      <w:proofErr w:type="spellStart"/>
      <w:r w:rsidRPr="00687214">
        <w:rPr>
          <w:lang w:val="en-US"/>
        </w:rPr>
        <w:t>Arraes</w:t>
      </w:r>
      <w:proofErr w:type="spellEnd"/>
      <w:r w:rsidRPr="00687214">
        <w:rPr>
          <w:lang w:val="en-US"/>
        </w:rPr>
        <w:t xml:space="preserve"> FMNR, </w:t>
      </w:r>
      <w:proofErr w:type="spellStart"/>
      <w:r w:rsidRPr="00687214">
        <w:rPr>
          <w:lang w:val="en-US"/>
        </w:rPr>
        <w:t>Padilha</w:t>
      </w:r>
      <w:proofErr w:type="spellEnd"/>
      <w:r w:rsidRPr="00687214">
        <w:rPr>
          <w:lang w:val="en-US"/>
        </w:rPr>
        <w:t xml:space="preserve"> IG, </w:t>
      </w:r>
      <w:proofErr w:type="spellStart"/>
      <w:r w:rsidRPr="00687214">
        <w:rPr>
          <w:lang w:val="en-US"/>
        </w:rPr>
        <w:t>Farias</w:t>
      </w:r>
      <w:proofErr w:type="spellEnd"/>
      <w:r w:rsidRPr="00687214">
        <w:rPr>
          <w:lang w:val="en-US"/>
        </w:rPr>
        <w:t xml:space="preserve"> LPG, </w:t>
      </w:r>
      <w:proofErr w:type="spellStart"/>
      <w:r w:rsidRPr="00687214">
        <w:rPr>
          <w:lang w:val="en-US"/>
        </w:rPr>
        <w:t>Jatobá</w:t>
      </w:r>
      <w:proofErr w:type="spellEnd"/>
      <w:r w:rsidRPr="00687214">
        <w:rPr>
          <w:lang w:val="en-US"/>
        </w:rPr>
        <w:t xml:space="preserve"> MSA, Andrade ACM, </w:t>
      </w:r>
      <w:proofErr w:type="spellStart"/>
      <w:r w:rsidRPr="00687214">
        <w:rPr>
          <w:lang w:val="en-US"/>
        </w:rPr>
        <w:t>Padilha</w:t>
      </w:r>
      <w:proofErr w:type="spellEnd"/>
      <w:r w:rsidRPr="00687214">
        <w:rPr>
          <w:lang w:val="en-US"/>
        </w:rPr>
        <w:t xml:space="preserve"> BG. </w:t>
      </w:r>
      <w:r w:rsidRPr="009C2395">
        <w:t xml:space="preserve">Variações anatômicas das cavidades paranasais à tomografia computadorizada </w:t>
      </w:r>
      <w:proofErr w:type="spellStart"/>
      <w:r w:rsidRPr="009C2395">
        <w:t>multislice</w:t>
      </w:r>
      <w:proofErr w:type="spellEnd"/>
      <w:r w:rsidRPr="009C2395">
        <w:t xml:space="preserve">. </w:t>
      </w:r>
      <w:proofErr w:type="spellStart"/>
      <w:r w:rsidRPr="00687214">
        <w:rPr>
          <w:lang w:val="en-US"/>
        </w:rPr>
        <w:t>Radiol</w:t>
      </w:r>
      <w:proofErr w:type="spellEnd"/>
      <w:r w:rsidRPr="00687214">
        <w:rPr>
          <w:lang w:val="en-US"/>
        </w:rPr>
        <w:t xml:space="preserve"> Bras. 2011 Jul/Ago</w:t>
      </w:r>
      <w:proofErr w:type="gramStart"/>
      <w:r w:rsidRPr="00687214">
        <w:rPr>
          <w:lang w:val="en-US"/>
        </w:rPr>
        <w:t>;44</w:t>
      </w:r>
      <w:proofErr w:type="gramEnd"/>
      <w:r w:rsidRPr="00687214">
        <w:rPr>
          <w:lang w:val="en-US"/>
        </w:rPr>
        <w:t>(4):256–262.</w:t>
      </w:r>
    </w:p>
    <w:p w14:paraId="03F82CCA" w14:textId="3CA0F982" w:rsidR="003125E9" w:rsidRPr="009C2395" w:rsidRDefault="003125E9" w:rsidP="005D66F3">
      <w:pPr>
        <w:spacing w:line="480" w:lineRule="auto"/>
        <w:jc w:val="both"/>
        <w:rPr>
          <w:lang w:val="en-US"/>
        </w:rPr>
      </w:pPr>
      <w:r>
        <w:rPr>
          <w:lang w:val="en-US"/>
        </w:rPr>
        <w:t xml:space="preserve">10. </w:t>
      </w:r>
      <w:proofErr w:type="spellStart"/>
      <w:r w:rsidRPr="009C2395">
        <w:rPr>
          <w:lang w:val="en-US"/>
        </w:rPr>
        <w:t>Sedaghat</w:t>
      </w:r>
      <w:proofErr w:type="spellEnd"/>
      <w:r w:rsidRPr="009C2395">
        <w:rPr>
          <w:lang w:val="en-US"/>
        </w:rPr>
        <w:t xml:space="preserve"> AR, </w:t>
      </w:r>
      <w:proofErr w:type="spellStart"/>
      <w:r w:rsidRPr="009C2395">
        <w:rPr>
          <w:lang w:val="en-US"/>
        </w:rPr>
        <w:t>Busaba</w:t>
      </w:r>
      <w:proofErr w:type="spellEnd"/>
      <w:r w:rsidRPr="009C2395">
        <w:rPr>
          <w:lang w:val="en-US"/>
        </w:rPr>
        <w:t xml:space="preserve"> NY, Cunningham MJ, </w:t>
      </w:r>
      <w:proofErr w:type="spellStart"/>
      <w:r w:rsidRPr="009C2395">
        <w:rPr>
          <w:lang w:val="en-US"/>
        </w:rPr>
        <w:t>Kie</w:t>
      </w:r>
      <w:r w:rsidR="00E77AA3">
        <w:rPr>
          <w:lang w:val="en-US"/>
        </w:rPr>
        <w:t>ff</w:t>
      </w:r>
      <w:proofErr w:type="spellEnd"/>
      <w:r w:rsidR="00E77AA3">
        <w:rPr>
          <w:lang w:val="en-US"/>
        </w:rPr>
        <w:t xml:space="preserve"> D. </w:t>
      </w:r>
      <w:r w:rsidRPr="009C2395">
        <w:rPr>
          <w:lang w:val="en-US"/>
        </w:rPr>
        <w:t xml:space="preserve">Clinical assessment is an accurate predictor of which patients will need </w:t>
      </w:r>
      <w:proofErr w:type="spellStart"/>
      <w:r w:rsidRPr="009C2395">
        <w:rPr>
          <w:lang w:val="en-US"/>
        </w:rPr>
        <w:t>septoplasty</w:t>
      </w:r>
      <w:proofErr w:type="spellEnd"/>
      <w:r w:rsidRPr="009C2395">
        <w:rPr>
          <w:lang w:val="en-US"/>
        </w:rPr>
        <w:t>. Laryngoscope</w:t>
      </w:r>
      <w:r w:rsidR="00E77AA3">
        <w:rPr>
          <w:lang w:val="en-US"/>
        </w:rPr>
        <w:t>. 2013</w:t>
      </w:r>
      <w:proofErr w:type="gramStart"/>
      <w:r w:rsidR="00E77AA3">
        <w:rPr>
          <w:lang w:val="en-US"/>
        </w:rPr>
        <w:t>;</w:t>
      </w:r>
      <w:r w:rsidRPr="009C2395">
        <w:rPr>
          <w:lang w:val="en-US"/>
        </w:rPr>
        <w:t>123:48</w:t>
      </w:r>
      <w:proofErr w:type="gramEnd"/>
      <w:r w:rsidRPr="009C2395">
        <w:rPr>
          <w:lang w:val="en-US"/>
        </w:rPr>
        <w:t>–52.</w:t>
      </w:r>
    </w:p>
    <w:p w14:paraId="05B1DBC5" w14:textId="71AF7D2E" w:rsidR="00E77AA3" w:rsidRDefault="003125E9" w:rsidP="005D66F3">
      <w:pPr>
        <w:spacing w:line="480" w:lineRule="auto"/>
        <w:jc w:val="both"/>
        <w:rPr>
          <w:lang w:val="en-US"/>
        </w:rPr>
      </w:pPr>
      <w:r>
        <w:rPr>
          <w:lang w:val="en-US"/>
        </w:rPr>
        <w:t xml:space="preserve">11. </w:t>
      </w:r>
      <w:r w:rsidR="00E77AA3" w:rsidRPr="00E77AA3">
        <w:rPr>
          <w:lang w:val="en-US"/>
        </w:rPr>
        <w:t xml:space="preserve">Lin JK, Wheatley FC, </w:t>
      </w:r>
      <w:proofErr w:type="spellStart"/>
      <w:r w:rsidR="00E77AA3" w:rsidRPr="00E77AA3">
        <w:rPr>
          <w:lang w:val="en-US"/>
        </w:rPr>
        <w:t>Handwerker</w:t>
      </w:r>
      <w:proofErr w:type="spellEnd"/>
      <w:r w:rsidR="00E77AA3" w:rsidRPr="00E77AA3">
        <w:rPr>
          <w:lang w:val="en-US"/>
        </w:rPr>
        <w:t xml:space="preserve"> J, Harris NJ, Wong BJ.</w:t>
      </w:r>
      <w:r w:rsidR="00E77AA3">
        <w:rPr>
          <w:lang w:val="en-US"/>
        </w:rPr>
        <w:t xml:space="preserve"> </w:t>
      </w:r>
      <w:r w:rsidR="00E77AA3" w:rsidRPr="00E77AA3">
        <w:rPr>
          <w:lang w:val="en-US"/>
        </w:rPr>
        <w:t xml:space="preserve">Analyzing nasal </w:t>
      </w:r>
      <w:proofErr w:type="spellStart"/>
      <w:r w:rsidR="00E77AA3" w:rsidRPr="00E77AA3">
        <w:rPr>
          <w:lang w:val="en-US"/>
        </w:rPr>
        <w:t>septal</w:t>
      </w:r>
      <w:proofErr w:type="spellEnd"/>
      <w:r w:rsidR="00E77AA3" w:rsidRPr="00E77AA3">
        <w:rPr>
          <w:lang w:val="en-US"/>
        </w:rPr>
        <w:t xml:space="preserve"> deviations to develop a new classifica</w:t>
      </w:r>
      <w:r w:rsidR="00E77AA3">
        <w:rPr>
          <w:lang w:val="en-US"/>
        </w:rPr>
        <w:t xml:space="preserve">tion system: a </w:t>
      </w:r>
      <w:r w:rsidR="00E77AA3" w:rsidRPr="00E77AA3">
        <w:rPr>
          <w:lang w:val="en-US"/>
        </w:rPr>
        <w:t xml:space="preserve">computed tomography study using MATLAB and </w:t>
      </w:r>
      <w:proofErr w:type="spellStart"/>
      <w:r w:rsidR="00E77AA3" w:rsidRPr="00E77AA3">
        <w:rPr>
          <w:lang w:val="en-US"/>
        </w:rPr>
        <w:t>OsiriX</w:t>
      </w:r>
      <w:proofErr w:type="spellEnd"/>
      <w:r w:rsidR="00E77AA3" w:rsidRPr="00E77AA3">
        <w:rPr>
          <w:lang w:val="en-US"/>
        </w:rPr>
        <w:t>.</w:t>
      </w:r>
      <w:r w:rsidR="00E77AA3">
        <w:rPr>
          <w:lang w:val="en-US"/>
        </w:rPr>
        <w:t xml:space="preserve"> </w:t>
      </w:r>
      <w:r w:rsidR="00E77AA3" w:rsidRPr="00E77AA3">
        <w:rPr>
          <w:lang w:val="en-US"/>
        </w:rPr>
        <w:t xml:space="preserve">JAMA Facial </w:t>
      </w:r>
      <w:proofErr w:type="spellStart"/>
      <w:r w:rsidR="00E77AA3" w:rsidRPr="00E77AA3">
        <w:rPr>
          <w:lang w:val="en-US"/>
        </w:rPr>
        <w:t>Plast</w:t>
      </w:r>
      <w:proofErr w:type="spellEnd"/>
      <w:r w:rsidR="00677785">
        <w:rPr>
          <w:lang w:val="en-US"/>
        </w:rPr>
        <w:t xml:space="preserve"> Surg. 2014 May-Jun</w:t>
      </w:r>
      <w:proofErr w:type="gramStart"/>
      <w:r w:rsidR="00677785">
        <w:rPr>
          <w:lang w:val="en-US"/>
        </w:rPr>
        <w:t>;16</w:t>
      </w:r>
      <w:proofErr w:type="gramEnd"/>
      <w:r w:rsidR="00677785">
        <w:rPr>
          <w:lang w:val="en-US"/>
        </w:rPr>
        <w:t>(3):183-7.</w:t>
      </w:r>
    </w:p>
    <w:p w14:paraId="4D9ED75E" w14:textId="088B6991" w:rsidR="00A522F4" w:rsidRPr="00A522F4" w:rsidRDefault="003125E9" w:rsidP="005D66F3">
      <w:pPr>
        <w:widowControl w:val="0"/>
        <w:autoSpaceDE w:val="0"/>
        <w:autoSpaceDN w:val="0"/>
        <w:adjustRightInd w:val="0"/>
        <w:spacing w:line="480" w:lineRule="auto"/>
        <w:jc w:val="both"/>
        <w:rPr>
          <w:lang w:val="en-US"/>
        </w:rPr>
      </w:pPr>
      <w:r>
        <w:rPr>
          <w:lang w:val="en-US"/>
        </w:rPr>
        <w:t>12.</w:t>
      </w:r>
      <w:r w:rsidRPr="009C2395">
        <w:rPr>
          <w:lang w:val="en-US"/>
        </w:rPr>
        <w:t xml:space="preserve"> </w:t>
      </w:r>
      <w:proofErr w:type="spellStart"/>
      <w:r w:rsidR="00A522F4">
        <w:rPr>
          <w:lang w:val="en-US"/>
        </w:rPr>
        <w:t>Mamikoglu</w:t>
      </w:r>
      <w:proofErr w:type="spellEnd"/>
      <w:r w:rsidR="00A522F4">
        <w:rPr>
          <w:lang w:val="en-US"/>
        </w:rPr>
        <w:t xml:space="preserve"> B</w:t>
      </w:r>
      <w:r w:rsidR="00A522F4" w:rsidRPr="00A522F4">
        <w:rPr>
          <w:lang w:val="en-US"/>
        </w:rPr>
        <w:t>, Houser S, Akbar I, Ng B, Corey JP.</w:t>
      </w:r>
      <w:r w:rsidR="00A522F4">
        <w:rPr>
          <w:lang w:val="en-US"/>
        </w:rPr>
        <w:t xml:space="preserve"> </w:t>
      </w:r>
      <w:r w:rsidR="00A522F4" w:rsidRPr="00A522F4">
        <w:rPr>
          <w:lang w:val="en-US"/>
        </w:rPr>
        <w:t xml:space="preserve">Acoustic </w:t>
      </w:r>
      <w:proofErr w:type="spellStart"/>
      <w:r w:rsidR="00A522F4" w:rsidRPr="00A522F4">
        <w:rPr>
          <w:lang w:val="en-US"/>
        </w:rPr>
        <w:t>rhinometry</w:t>
      </w:r>
      <w:proofErr w:type="spellEnd"/>
      <w:r w:rsidR="00A522F4" w:rsidRPr="00A522F4">
        <w:rPr>
          <w:lang w:val="en-US"/>
        </w:rPr>
        <w:t xml:space="preserve"> and computed tomography s</w:t>
      </w:r>
      <w:r w:rsidR="00A522F4">
        <w:rPr>
          <w:lang w:val="en-US"/>
        </w:rPr>
        <w:t xml:space="preserve">cans for the diagnosis of nasal </w:t>
      </w:r>
      <w:proofErr w:type="spellStart"/>
      <w:r w:rsidR="00A522F4" w:rsidRPr="00A522F4">
        <w:rPr>
          <w:lang w:val="en-US"/>
        </w:rPr>
        <w:t>septal</w:t>
      </w:r>
      <w:proofErr w:type="spellEnd"/>
      <w:r w:rsidR="00A522F4" w:rsidRPr="00A522F4">
        <w:rPr>
          <w:lang w:val="en-US"/>
        </w:rPr>
        <w:t xml:space="preserve"> deviation, with clinical correlation.</w:t>
      </w:r>
      <w:r w:rsidR="00A522F4">
        <w:rPr>
          <w:lang w:val="en-US"/>
        </w:rPr>
        <w:t xml:space="preserve"> </w:t>
      </w:r>
      <w:proofErr w:type="spellStart"/>
      <w:r w:rsidR="00A522F4" w:rsidRPr="00A522F4">
        <w:rPr>
          <w:lang w:val="en-US"/>
        </w:rPr>
        <w:t>Otolaryngol</w:t>
      </w:r>
      <w:proofErr w:type="spellEnd"/>
      <w:r w:rsidR="00A522F4" w:rsidRPr="00A522F4">
        <w:rPr>
          <w:lang w:val="en-US"/>
        </w:rPr>
        <w:t xml:space="preserve"> Head Neck Surg. 2000 Jul</w:t>
      </w:r>
      <w:proofErr w:type="gramStart"/>
      <w:r w:rsidR="00A522F4" w:rsidRPr="00A522F4">
        <w:rPr>
          <w:lang w:val="en-US"/>
        </w:rPr>
        <w:t>;123</w:t>
      </w:r>
      <w:proofErr w:type="gramEnd"/>
      <w:r w:rsidR="00A522F4" w:rsidRPr="00A522F4">
        <w:rPr>
          <w:lang w:val="en-US"/>
        </w:rPr>
        <w:t xml:space="preserve">(1 </w:t>
      </w:r>
      <w:proofErr w:type="spellStart"/>
      <w:r w:rsidR="00A522F4" w:rsidRPr="00A522F4">
        <w:rPr>
          <w:lang w:val="en-US"/>
        </w:rPr>
        <w:t>Pt</w:t>
      </w:r>
      <w:proofErr w:type="spellEnd"/>
      <w:r w:rsidR="00A522F4" w:rsidRPr="00A522F4">
        <w:rPr>
          <w:lang w:val="en-US"/>
        </w:rPr>
        <w:t xml:space="preserve"> 1):61-8.</w:t>
      </w:r>
    </w:p>
    <w:p w14:paraId="1EC6464F" w14:textId="2D163FF5" w:rsidR="00A522F4" w:rsidRDefault="00A522F4" w:rsidP="005D66F3">
      <w:pPr>
        <w:spacing w:line="480" w:lineRule="auto"/>
        <w:jc w:val="both"/>
        <w:rPr>
          <w:lang w:val="en-US"/>
        </w:rPr>
      </w:pPr>
      <w:r>
        <w:rPr>
          <w:lang w:val="en-US"/>
        </w:rPr>
        <w:t xml:space="preserve">13. </w:t>
      </w:r>
      <w:proofErr w:type="spellStart"/>
      <w:r>
        <w:rPr>
          <w:lang w:val="en-US"/>
        </w:rPr>
        <w:t>Tahamiler</w:t>
      </w:r>
      <w:proofErr w:type="spellEnd"/>
      <w:r>
        <w:rPr>
          <w:lang w:val="en-US"/>
        </w:rPr>
        <w:t xml:space="preserve"> R</w:t>
      </w:r>
      <w:r w:rsidRPr="00A522F4">
        <w:rPr>
          <w:lang w:val="en-US"/>
        </w:rPr>
        <w:t xml:space="preserve">, </w:t>
      </w:r>
      <w:proofErr w:type="spellStart"/>
      <w:r w:rsidRPr="00A522F4">
        <w:rPr>
          <w:lang w:val="en-US"/>
        </w:rPr>
        <w:t>Canakcioglu</w:t>
      </w:r>
      <w:proofErr w:type="spellEnd"/>
      <w:r w:rsidRPr="00A522F4">
        <w:rPr>
          <w:lang w:val="en-US"/>
        </w:rPr>
        <w:t xml:space="preserve"> S, </w:t>
      </w:r>
      <w:proofErr w:type="spellStart"/>
      <w:r w:rsidRPr="00A522F4">
        <w:rPr>
          <w:lang w:val="en-US"/>
        </w:rPr>
        <w:t>Yilmaz</w:t>
      </w:r>
      <w:proofErr w:type="spellEnd"/>
      <w:r w:rsidRPr="00A522F4">
        <w:rPr>
          <w:lang w:val="en-US"/>
        </w:rPr>
        <w:t xml:space="preserve"> S, </w:t>
      </w:r>
      <w:proofErr w:type="spellStart"/>
      <w:r w:rsidRPr="00A522F4">
        <w:rPr>
          <w:lang w:val="en-US"/>
        </w:rPr>
        <w:t>Dirican</w:t>
      </w:r>
      <w:proofErr w:type="spellEnd"/>
      <w:r w:rsidRPr="00A522F4">
        <w:rPr>
          <w:lang w:val="en-US"/>
        </w:rPr>
        <w:t xml:space="preserve"> A.</w:t>
      </w:r>
      <w:r>
        <w:rPr>
          <w:lang w:val="en-US"/>
        </w:rPr>
        <w:t xml:space="preserve"> </w:t>
      </w:r>
      <w:r w:rsidRPr="00A522F4">
        <w:rPr>
          <w:lang w:val="en-US"/>
        </w:rPr>
        <w:t>Expiratory nasal sound analysis as a new method for evaluation of nasal</w:t>
      </w:r>
      <w:r>
        <w:rPr>
          <w:lang w:val="en-US"/>
        </w:rPr>
        <w:t xml:space="preserve"> </w:t>
      </w:r>
      <w:r w:rsidRPr="00A522F4">
        <w:rPr>
          <w:lang w:val="en-US"/>
        </w:rPr>
        <w:t xml:space="preserve">obstruction in patients with nasal </w:t>
      </w:r>
      <w:proofErr w:type="spellStart"/>
      <w:r w:rsidRPr="00A522F4">
        <w:rPr>
          <w:lang w:val="en-US"/>
        </w:rPr>
        <w:t>septal</w:t>
      </w:r>
      <w:proofErr w:type="spellEnd"/>
      <w:r w:rsidRPr="00A522F4">
        <w:rPr>
          <w:lang w:val="en-US"/>
        </w:rPr>
        <w:t xml:space="preserve"> deviation: comparison of expiratory</w:t>
      </w:r>
      <w:r>
        <w:rPr>
          <w:lang w:val="en-US"/>
        </w:rPr>
        <w:t xml:space="preserve"> </w:t>
      </w:r>
      <w:r w:rsidRPr="00A522F4">
        <w:rPr>
          <w:lang w:val="en-US"/>
        </w:rPr>
        <w:t>nasal sounds from both deviated and normal nasal cavity.</w:t>
      </w:r>
      <w:r>
        <w:rPr>
          <w:lang w:val="en-US"/>
        </w:rPr>
        <w:t xml:space="preserve"> </w:t>
      </w:r>
      <w:r w:rsidRPr="00A522F4">
        <w:rPr>
          <w:lang w:val="en-US"/>
        </w:rPr>
        <w:t xml:space="preserve">J </w:t>
      </w:r>
      <w:proofErr w:type="spellStart"/>
      <w:r w:rsidRPr="00A522F4">
        <w:rPr>
          <w:lang w:val="en-US"/>
        </w:rPr>
        <w:t>Laryngol</w:t>
      </w:r>
      <w:proofErr w:type="spellEnd"/>
      <w:r w:rsidRPr="00A522F4">
        <w:rPr>
          <w:lang w:val="en-US"/>
        </w:rPr>
        <w:t xml:space="preserve"> Otol. 2008 Feb</w:t>
      </w:r>
      <w:proofErr w:type="gramStart"/>
      <w:r w:rsidRPr="00A522F4">
        <w:rPr>
          <w:lang w:val="en-US"/>
        </w:rPr>
        <w:t>;122</w:t>
      </w:r>
      <w:proofErr w:type="gramEnd"/>
      <w:r w:rsidRPr="00A522F4">
        <w:rPr>
          <w:lang w:val="en-US"/>
        </w:rPr>
        <w:t xml:space="preserve">(2):150-4. </w:t>
      </w:r>
    </w:p>
    <w:p w14:paraId="76ADA5DB" w14:textId="0FBAF623" w:rsidR="00677785" w:rsidRPr="009C2395" w:rsidRDefault="00A522F4" w:rsidP="005D66F3">
      <w:pPr>
        <w:spacing w:line="480" w:lineRule="auto"/>
        <w:jc w:val="both"/>
        <w:rPr>
          <w:lang w:val="en-US"/>
        </w:rPr>
      </w:pPr>
      <w:r>
        <w:rPr>
          <w:lang w:val="en-US"/>
        </w:rPr>
        <w:t xml:space="preserve">14. </w:t>
      </w:r>
      <w:proofErr w:type="spellStart"/>
      <w:r>
        <w:rPr>
          <w:lang w:val="en-US"/>
        </w:rPr>
        <w:t>Szücs</w:t>
      </w:r>
      <w:proofErr w:type="spellEnd"/>
      <w:r>
        <w:rPr>
          <w:lang w:val="en-US"/>
        </w:rPr>
        <w:t xml:space="preserve"> E</w:t>
      </w:r>
      <w:r w:rsidRPr="00A522F4">
        <w:rPr>
          <w:lang w:val="en-US"/>
        </w:rPr>
        <w:t>, Clement PA.</w:t>
      </w:r>
      <w:r>
        <w:rPr>
          <w:lang w:val="en-US"/>
        </w:rPr>
        <w:t xml:space="preserve"> </w:t>
      </w:r>
      <w:proofErr w:type="gramStart"/>
      <w:r w:rsidRPr="00A522F4">
        <w:rPr>
          <w:lang w:val="en-US"/>
        </w:rPr>
        <w:t xml:space="preserve">Acoustic </w:t>
      </w:r>
      <w:proofErr w:type="spellStart"/>
      <w:r w:rsidRPr="00A522F4">
        <w:rPr>
          <w:lang w:val="en-US"/>
        </w:rPr>
        <w:t>rhinometry</w:t>
      </w:r>
      <w:proofErr w:type="spellEnd"/>
      <w:r w:rsidRPr="00A522F4">
        <w:rPr>
          <w:lang w:val="en-US"/>
        </w:rPr>
        <w:t xml:space="preserve"> and </w:t>
      </w:r>
      <w:proofErr w:type="spellStart"/>
      <w:r w:rsidRPr="00A522F4">
        <w:rPr>
          <w:lang w:val="en-US"/>
        </w:rPr>
        <w:t>rhinomanometry</w:t>
      </w:r>
      <w:proofErr w:type="spellEnd"/>
      <w:r w:rsidRPr="00A522F4">
        <w:rPr>
          <w:lang w:val="en-US"/>
        </w:rPr>
        <w:t xml:space="preserve"> in the evaluation of nasal</w:t>
      </w:r>
      <w:r>
        <w:rPr>
          <w:lang w:val="en-US"/>
        </w:rPr>
        <w:t xml:space="preserve"> patency of </w:t>
      </w:r>
      <w:r w:rsidRPr="00A522F4">
        <w:rPr>
          <w:lang w:val="en-US"/>
        </w:rPr>
        <w:t xml:space="preserve">patients with nasal </w:t>
      </w:r>
      <w:proofErr w:type="spellStart"/>
      <w:r w:rsidRPr="00A522F4">
        <w:rPr>
          <w:lang w:val="en-US"/>
        </w:rPr>
        <w:t>septal</w:t>
      </w:r>
      <w:proofErr w:type="spellEnd"/>
      <w:r w:rsidRPr="00A522F4">
        <w:rPr>
          <w:lang w:val="en-US"/>
        </w:rPr>
        <w:t xml:space="preserve"> deviation.</w:t>
      </w:r>
      <w:proofErr w:type="gramEnd"/>
      <w:r>
        <w:rPr>
          <w:lang w:val="en-US"/>
        </w:rPr>
        <w:t xml:space="preserve"> </w:t>
      </w:r>
      <w:r w:rsidRPr="00A522F4">
        <w:rPr>
          <w:lang w:val="en-US"/>
        </w:rPr>
        <w:t xml:space="preserve">Am J </w:t>
      </w:r>
      <w:proofErr w:type="spellStart"/>
      <w:proofErr w:type="gramStart"/>
      <w:r w:rsidRPr="00A522F4">
        <w:rPr>
          <w:lang w:val="en-US"/>
        </w:rPr>
        <w:t>Rhinol</w:t>
      </w:r>
      <w:proofErr w:type="spellEnd"/>
      <w:r w:rsidRPr="00A522F4">
        <w:rPr>
          <w:lang w:val="en-US"/>
        </w:rPr>
        <w:t>.</w:t>
      </w:r>
      <w:proofErr w:type="gramEnd"/>
      <w:r w:rsidRPr="00A522F4">
        <w:rPr>
          <w:lang w:val="en-US"/>
        </w:rPr>
        <w:t xml:space="preserve"> 1998 Sep-Oct</w:t>
      </w:r>
      <w:proofErr w:type="gramStart"/>
      <w:r w:rsidRPr="00A522F4">
        <w:rPr>
          <w:lang w:val="en-US"/>
        </w:rPr>
        <w:t>;12</w:t>
      </w:r>
      <w:proofErr w:type="gramEnd"/>
      <w:r w:rsidRPr="00A522F4">
        <w:rPr>
          <w:lang w:val="en-US"/>
        </w:rPr>
        <w:t>(5):345-52.</w:t>
      </w:r>
    </w:p>
    <w:p w14:paraId="29604867" w14:textId="344869B3" w:rsidR="00003FA7" w:rsidRPr="009C2395" w:rsidRDefault="003125E9" w:rsidP="005D66F3">
      <w:pPr>
        <w:widowControl w:val="0"/>
        <w:autoSpaceDE w:val="0"/>
        <w:autoSpaceDN w:val="0"/>
        <w:adjustRightInd w:val="0"/>
        <w:spacing w:line="480" w:lineRule="auto"/>
        <w:jc w:val="both"/>
        <w:rPr>
          <w:lang w:val="en-US"/>
        </w:rPr>
      </w:pPr>
      <w:r>
        <w:rPr>
          <w:lang w:val="en-US"/>
        </w:rPr>
        <w:t xml:space="preserve">15. </w:t>
      </w:r>
      <w:r w:rsidRPr="009C2395">
        <w:rPr>
          <w:lang w:val="en-US"/>
        </w:rPr>
        <w:t xml:space="preserve">Oliveira AKP, Elias Junior E, dos Santos LV, </w:t>
      </w:r>
      <w:proofErr w:type="spellStart"/>
      <w:r w:rsidRPr="009C2395">
        <w:rPr>
          <w:lang w:val="en-US"/>
        </w:rPr>
        <w:t>Bettega</w:t>
      </w:r>
      <w:proofErr w:type="spellEnd"/>
      <w:r w:rsidRPr="009C2395">
        <w:rPr>
          <w:lang w:val="en-US"/>
        </w:rPr>
        <w:t xml:space="preserve"> SG, </w:t>
      </w:r>
      <w:proofErr w:type="spellStart"/>
      <w:r w:rsidRPr="009C2395">
        <w:rPr>
          <w:lang w:val="en-US"/>
        </w:rPr>
        <w:t>Mocellin</w:t>
      </w:r>
      <w:proofErr w:type="spellEnd"/>
      <w:r w:rsidRPr="009C2395">
        <w:rPr>
          <w:lang w:val="en-US"/>
        </w:rPr>
        <w:t xml:space="preserve"> M. Presence of deviated nasal septum in Curitiba, Brazil</w:t>
      </w:r>
      <w:r w:rsidR="00E84B5B">
        <w:rPr>
          <w:lang w:val="en-US"/>
        </w:rPr>
        <w:t xml:space="preserve">. </w:t>
      </w:r>
      <w:r w:rsidRPr="009C2395">
        <w:rPr>
          <w:lang w:val="en-US"/>
        </w:rPr>
        <w:t xml:space="preserve"> </w:t>
      </w:r>
      <w:proofErr w:type="spellStart"/>
      <w:proofErr w:type="gramStart"/>
      <w:r w:rsidR="00E84B5B" w:rsidRPr="009C2395">
        <w:rPr>
          <w:lang w:val="en-US"/>
        </w:rPr>
        <w:t>Int</w:t>
      </w:r>
      <w:proofErr w:type="spellEnd"/>
      <w:r w:rsidR="00E84B5B" w:rsidRPr="009C2395">
        <w:rPr>
          <w:lang w:val="en-US"/>
        </w:rPr>
        <w:t xml:space="preserve"> </w:t>
      </w:r>
      <w:r w:rsidR="00003FA7">
        <w:rPr>
          <w:lang w:val="en-US"/>
        </w:rPr>
        <w:t xml:space="preserve"> </w:t>
      </w:r>
      <w:r w:rsidR="00E84B5B" w:rsidRPr="009C2395">
        <w:rPr>
          <w:lang w:val="en-US"/>
        </w:rPr>
        <w:t>Arch</w:t>
      </w:r>
      <w:proofErr w:type="gramEnd"/>
      <w:r w:rsidR="00E84B5B" w:rsidRPr="009C2395">
        <w:rPr>
          <w:lang w:val="en-US"/>
        </w:rPr>
        <w:t xml:space="preserve"> </w:t>
      </w:r>
      <w:proofErr w:type="spellStart"/>
      <w:r w:rsidR="00E84B5B" w:rsidRPr="009C2395">
        <w:rPr>
          <w:lang w:val="en-US"/>
        </w:rPr>
        <w:t>Otolaryngol</w:t>
      </w:r>
      <w:proofErr w:type="spellEnd"/>
      <w:r w:rsidR="00E84B5B">
        <w:rPr>
          <w:lang w:val="en-US"/>
        </w:rPr>
        <w:t>.</w:t>
      </w:r>
      <w:r w:rsidR="00E84B5B" w:rsidRPr="009C2395">
        <w:rPr>
          <w:lang w:val="en-US"/>
        </w:rPr>
        <w:t xml:space="preserve"> </w:t>
      </w:r>
      <w:r w:rsidRPr="009C2395">
        <w:rPr>
          <w:lang w:val="en-US"/>
        </w:rPr>
        <w:t>2005</w:t>
      </w:r>
      <w:r w:rsidR="00E84B5B">
        <w:rPr>
          <w:lang w:val="en-US"/>
        </w:rPr>
        <w:t>;</w:t>
      </w:r>
      <w:r w:rsidRPr="009C2395">
        <w:rPr>
          <w:lang w:val="en-US"/>
        </w:rPr>
        <w:t xml:space="preserve"> 9(4)</w:t>
      </w:r>
      <w:proofErr w:type="gramStart"/>
      <w:r w:rsidRPr="009C2395">
        <w:rPr>
          <w:lang w:val="en-US"/>
        </w:rPr>
        <w:t>:123</w:t>
      </w:r>
      <w:proofErr w:type="gramEnd"/>
      <w:r w:rsidRPr="009C2395">
        <w:rPr>
          <w:lang w:val="en-US"/>
        </w:rPr>
        <w:t>.</w:t>
      </w:r>
    </w:p>
    <w:p w14:paraId="07874B47" w14:textId="5C477B69" w:rsidR="009D3C38" w:rsidRPr="009C2395" w:rsidRDefault="009D3C38" w:rsidP="005D66F3">
      <w:pPr>
        <w:widowControl w:val="0"/>
        <w:autoSpaceDE w:val="0"/>
        <w:autoSpaceDN w:val="0"/>
        <w:adjustRightInd w:val="0"/>
        <w:spacing w:line="480" w:lineRule="auto"/>
        <w:jc w:val="both"/>
        <w:rPr>
          <w:lang w:val="en-US"/>
        </w:rPr>
      </w:pPr>
      <w:r>
        <w:rPr>
          <w:lang w:val="en-US"/>
        </w:rPr>
        <w:t>16.</w:t>
      </w:r>
      <w:r w:rsidRPr="009C2395">
        <w:rPr>
          <w:lang w:val="en-US"/>
        </w:rPr>
        <w:t xml:space="preserve"> </w:t>
      </w:r>
      <w:proofErr w:type="spellStart"/>
      <w:r w:rsidRPr="009C2395">
        <w:rPr>
          <w:lang w:val="en-US"/>
        </w:rPr>
        <w:t>Onerci</w:t>
      </w:r>
      <w:proofErr w:type="spellEnd"/>
      <w:r w:rsidRPr="009C2395">
        <w:rPr>
          <w:lang w:val="en-US"/>
        </w:rPr>
        <w:t xml:space="preserve"> M. </w:t>
      </w:r>
      <w:proofErr w:type="spellStart"/>
      <w:r w:rsidRPr="009C2395">
        <w:rPr>
          <w:lang w:val="en-US"/>
        </w:rPr>
        <w:t>Endoskopik</w:t>
      </w:r>
      <w:proofErr w:type="spellEnd"/>
      <w:r w:rsidRPr="009C2395">
        <w:rPr>
          <w:lang w:val="en-US"/>
        </w:rPr>
        <w:t xml:space="preserve"> sinus </w:t>
      </w:r>
      <w:proofErr w:type="spellStart"/>
      <w:r w:rsidRPr="009C2395">
        <w:rPr>
          <w:lang w:val="en-US"/>
        </w:rPr>
        <w:t>cerrahisi</w:t>
      </w:r>
      <w:proofErr w:type="spellEnd"/>
      <w:r w:rsidRPr="009C2395">
        <w:rPr>
          <w:lang w:val="en-US"/>
        </w:rPr>
        <w:t xml:space="preserve">. </w:t>
      </w:r>
      <w:proofErr w:type="spellStart"/>
      <w:r w:rsidR="009836BA">
        <w:rPr>
          <w:lang w:val="en-US"/>
        </w:rPr>
        <w:t>Boyun</w:t>
      </w:r>
      <w:proofErr w:type="spellEnd"/>
      <w:r w:rsidR="009836BA">
        <w:rPr>
          <w:lang w:val="en-US"/>
        </w:rPr>
        <w:t xml:space="preserve"> </w:t>
      </w:r>
      <w:proofErr w:type="spellStart"/>
      <w:r w:rsidR="009836BA">
        <w:rPr>
          <w:lang w:val="en-US"/>
        </w:rPr>
        <w:t>Cerrahisi</w:t>
      </w:r>
      <w:proofErr w:type="spellEnd"/>
      <w:r w:rsidR="009836BA">
        <w:rPr>
          <w:lang w:val="en-US"/>
        </w:rPr>
        <w:t>. 1996. 4 (3)</w:t>
      </w:r>
      <w:proofErr w:type="gramStart"/>
      <w:r w:rsidR="009836BA">
        <w:rPr>
          <w:lang w:val="en-US"/>
        </w:rPr>
        <w:t>;</w:t>
      </w:r>
      <w:proofErr w:type="gramEnd"/>
      <w:r w:rsidR="009836BA">
        <w:rPr>
          <w:lang w:val="en-US"/>
        </w:rPr>
        <w:t xml:space="preserve"> </w:t>
      </w:r>
      <w:r w:rsidRPr="009C2395">
        <w:rPr>
          <w:lang w:val="en-US"/>
        </w:rPr>
        <w:t>9-</w:t>
      </w:r>
      <w:r w:rsidR="009836BA">
        <w:rPr>
          <w:lang w:val="en-US"/>
        </w:rPr>
        <w:t>21.</w:t>
      </w:r>
    </w:p>
    <w:p w14:paraId="6C5FA793" w14:textId="63AD6E79" w:rsidR="009D3C38" w:rsidRPr="009C2395" w:rsidRDefault="009D3C38" w:rsidP="005D66F3">
      <w:pPr>
        <w:widowControl w:val="0"/>
        <w:autoSpaceDE w:val="0"/>
        <w:autoSpaceDN w:val="0"/>
        <w:adjustRightInd w:val="0"/>
        <w:spacing w:line="480" w:lineRule="auto"/>
        <w:jc w:val="both"/>
      </w:pPr>
      <w:r>
        <w:rPr>
          <w:lang w:val="en-US"/>
        </w:rPr>
        <w:t xml:space="preserve">17. </w:t>
      </w:r>
      <w:proofErr w:type="spellStart"/>
      <w:r w:rsidRPr="009C2395">
        <w:rPr>
          <w:lang w:val="en-US"/>
        </w:rPr>
        <w:t>Doğru</w:t>
      </w:r>
      <w:proofErr w:type="spellEnd"/>
      <w:r w:rsidRPr="009C2395">
        <w:rPr>
          <w:lang w:val="en-US"/>
        </w:rPr>
        <w:t xml:space="preserve"> H, </w:t>
      </w:r>
      <w:proofErr w:type="spellStart"/>
      <w:r w:rsidRPr="009C2395">
        <w:rPr>
          <w:lang w:val="en-US"/>
        </w:rPr>
        <w:t>Döner</w:t>
      </w:r>
      <w:proofErr w:type="spellEnd"/>
      <w:r w:rsidRPr="009C2395">
        <w:rPr>
          <w:lang w:val="en-US"/>
        </w:rPr>
        <w:t xml:space="preserve"> F, Uygur K, </w:t>
      </w:r>
      <w:proofErr w:type="spellStart"/>
      <w:r w:rsidRPr="009C2395">
        <w:rPr>
          <w:lang w:val="en-US"/>
        </w:rPr>
        <w:t>Gedikli</w:t>
      </w:r>
      <w:proofErr w:type="spellEnd"/>
      <w:r w:rsidRPr="009C2395">
        <w:rPr>
          <w:lang w:val="en-US"/>
        </w:rPr>
        <w:t xml:space="preserve"> O, Cetin M. </w:t>
      </w:r>
      <w:proofErr w:type="spellStart"/>
      <w:r w:rsidRPr="009C2395">
        <w:rPr>
          <w:lang w:val="en-US"/>
        </w:rPr>
        <w:t>Pneumatized</w:t>
      </w:r>
      <w:proofErr w:type="spellEnd"/>
      <w:r w:rsidRPr="009C2395">
        <w:rPr>
          <w:lang w:val="en-US"/>
        </w:rPr>
        <w:t xml:space="preserve"> inferior turbinate. Am J </w:t>
      </w:r>
      <w:proofErr w:type="spellStart"/>
      <w:proofErr w:type="gramStart"/>
      <w:r w:rsidRPr="009C2395">
        <w:rPr>
          <w:lang w:val="en-US"/>
        </w:rPr>
        <w:t>Otolaryngol</w:t>
      </w:r>
      <w:proofErr w:type="spellEnd"/>
      <w:r w:rsidRPr="009C2395">
        <w:rPr>
          <w:lang w:val="en-US"/>
        </w:rPr>
        <w:t>.</w:t>
      </w:r>
      <w:proofErr w:type="gramEnd"/>
      <w:r w:rsidRPr="009C2395">
        <w:rPr>
          <w:lang w:val="en-US"/>
        </w:rPr>
        <w:t xml:space="preserve"> </w:t>
      </w:r>
      <w:r w:rsidRPr="009C2395">
        <w:t>1999 Mar-Apr;20(2):139-41.</w:t>
      </w:r>
    </w:p>
    <w:p w14:paraId="2CACA8DE" w14:textId="70321835" w:rsidR="009D3C38" w:rsidRPr="009C2395" w:rsidRDefault="009D3C38" w:rsidP="005D66F3">
      <w:pPr>
        <w:widowControl w:val="0"/>
        <w:autoSpaceDE w:val="0"/>
        <w:autoSpaceDN w:val="0"/>
        <w:adjustRightInd w:val="0"/>
        <w:spacing w:line="480" w:lineRule="auto"/>
        <w:jc w:val="both"/>
        <w:rPr>
          <w:lang w:val="en-US"/>
        </w:rPr>
      </w:pPr>
      <w:r>
        <w:t xml:space="preserve">18. </w:t>
      </w:r>
      <w:proofErr w:type="spellStart"/>
      <w:r w:rsidRPr="009C2395">
        <w:t>Unlü</w:t>
      </w:r>
      <w:proofErr w:type="spellEnd"/>
      <w:r w:rsidRPr="009C2395">
        <w:t xml:space="preserve"> HH, </w:t>
      </w:r>
      <w:proofErr w:type="spellStart"/>
      <w:r w:rsidRPr="009C2395">
        <w:t>Akyar</w:t>
      </w:r>
      <w:proofErr w:type="spellEnd"/>
      <w:r w:rsidRPr="009C2395">
        <w:t xml:space="preserve"> S, </w:t>
      </w:r>
      <w:proofErr w:type="spellStart"/>
      <w:r w:rsidRPr="009C2395">
        <w:t>Caylan</w:t>
      </w:r>
      <w:proofErr w:type="spellEnd"/>
      <w:r w:rsidRPr="009C2395">
        <w:t xml:space="preserve"> R, </w:t>
      </w:r>
      <w:proofErr w:type="spellStart"/>
      <w:r w:rsidRPr="009C2395">
        <w:t>Nalça</w:t>
      </w:r>
      <w:proofErr w:type="spellEnd"/>
      <w:r w:rsidRPr="009C2395">
        <w:t xml:space="preserve"> Y. Concha </w:t>
      </w:r>
      <w:proofErr w:type="spellStart"/>
      <w:r w:rsidRPr="009C2395">
        <w:t>bullosa</w:t>
      </w:r>
      <w:proofErr w:type="spellEnd"/>
      <w:r w:rsidRPr="009C2395">
        <w:t xml:space="preserve">. </w:t>
      </w:r>
      <w:r w:rsidRPr="009C2395">
        <w:rPr>
          <w:lang w:val="en-US"/>
        </w:rPr>
        <w:t xml:space="preserve">J </w:t>
      </w:r>
      <w:proofErr w:type="spellStart"/>
      <w:r w:rsidRPr="009C2395">
        <w:rPr>
          <w:lang w:val="en-US"/>
        </w:rPr>
        <w:t>Otolaryngol</w:t>
      </w:r>
      <w:proofErr w:type="spellEnd"/>
      <w:r w:rsidRPr="009C2395">
        <w:rPr>
          <w:lang w:val="en-US"/>
        </w:rPr>
        <w:t>. 1994 Feb</w:t>
      </w:r>
      <w:proofErr w:type="gramStart"/>
      <w:r w:rsidRPr="009C2395">
        <w:rPr>
          <w:lang w:val="en-US"/>
        </w:rPr>
        <w:t>;23</w:t>
      </w:r>
      <w:proofErr w:type="gramEnd"/>
      <w:r w:rsidRPr="009C2395">
        <w:rPr>
          <w:lang w:val="en-US"/>
        </w:rPr>
        <w:t>(1):23-7.</w:t>
      </w:r>
    </w:p>
    <w:p w14:paraId="6E936557" w14:textId="2410BF37" w:rsidR="00D6061F" w:rsidRPr="009C2395" w:rsidRDefault="00D6061F" w:rsidP="005D66F3">
      <w:pPr>
        <w:widowControl w:val="0"/>
        <w:autoSpaceDE w:val="0"/>
        <w:autoSpaceDN w:val="0"/>
        <w:adjustRightInd w:val="0"/>
        <w:spacing w:line="480" w:lineRule="auto"/>
        <w:jc w:val="both"/>
        <w:rPr>
          <w:lang w:val="en-US"/>
        </w:rPr>
      </w:pPr>
      <w:r>
        <w:rPr>
          <w:lang w:val="en-US"/>
        </w:rPr>
        <w:t>19</w:t>
      </w:r>
      <w:r w:rsidRPr="009C2395">
        <w:rPr>
          <w:lang w:val="en-US"/>
        </w:rPr>
        <w:t xml:space="preserve">. Calhoun KH, </w:t>
      </w:r>
      <w:proofErr w:type="spellStart"/>
      <w:r w:rsidRPr="009C2395">
        <w:rPr>
          <w:lang w:val="en-US"/>
        </w:rPr>
        <w:t>Waggenspack</w:t>
      </w:r>
      <w:proofErr w:type="spellEnd"/>
      <w:r w:rsidRPr="009C2395">
        <w:rPr>
          <w:lang w:val="en-US"/>
        </w:rPr>
        <w:t xml:space="preserve"> GA, Simpson CB, et a</w:t>
      </w:r>
      <w:bookmarkStart w:id="0" w:name="_GoBack"/>
      <w:bookmarkEnd w:id="0"/>
      <w:r w:rsidRPr="009C2395">
        <w:rPr>
          <w:lang w:val="en-US"/>
        </w:rPr>
        <w:t xml:space="preserve">l. CT evaluation of the </w:t>
      </w:r>
      <w:proofErr w:type="spellStart"/>
      <w:r w:rsidRPr="009C2395">
        <w:rPr>
          <w:lang w:val="en-US"/>
        </w:rPr>
        <w:t>paranasal</w:t>
      </w:r>
      <w:proofErr w:type="spellEnd"/>
      <w:r w:rsidRPr="009C2395">
        <w:rPr>
          <w:lang w:val="en-US"/>
        </w:rPr>
        <w:t xml:space="preserve"> sinuses in symptomatic and asymptomatic populations. </w:t>
      </w:r>
      <w:proofErr w:type="spellStart"/>
      <w:r w:rsidRPr="009C2395">
        <w:rPr>
          <w:lang w:val="en-US"/>
        </w:rPr>
        <w:t>Otolaryngol</w:t>
      </w:r>
      <w:proofErr w:type="spellEnd"/>
      <w:r w:rsidRPr="009C2395">
        <w:rPr>
          <w:lang w:val="en-US"/>
        </w:rPr>
        <w:t xml:space="preserve"> Head Neck </w:t>
      </w:r>
      <w:proofErr w:type="spellStart"/>
      <w:r w:rsidRPr="009C2395">
        <w:rPr>
          <w:lang w:val="en-US"/>
        </w:rPr>
        <w:t>Surg</w:t>
      </w:r>
      <w:proofErr w:type="spellEnd"/>
      <w:r w:rsidRPr="009C2395">
        <w:rPr>
          <w:lang w:val="en-US"/>
        </w:rPr>
        <w:t xml:space="preserve"> 1991</w:t>
      </w:r>
      <w:proofErr w:type="gramStart"/>
      <w:r w:rsidRPr="009C2395">
        <w:rPr>
          <w:lang w:val="en-US"/>
        </w:rPr>
        <w:t>;104:480</w:t>
      </w:r>
      <w:proofErr w:type="gramEnd"/>
      <w:r w:rsidRPr="009C2395">
        <w:rPr>
          <w:lang w:val="en-US"/>
        </w:rPr>
        <w:t>-3.</w:t>
      </w:r>
    </w:p>
    <w:p w14:paraId="27A3AFA5" w14:textId="3E8EA852" w:rsidR="00D6061F" w:rsidRPr="009C2395" w:rsidRDefault="00D6061F" w:rsidP="005D66F3">
      <w:pPr>
        <w:widowControl w:val="0"/>
        <w:autoSpaceDE w:val="0"/>
        <w:autoSpaceDN w:val="0"/>
        <w:adjustRightInd w:val="0"/>
        <w:spacing w:line="480" w:lineRule="auto"/>
        <w:jc w:val="both"/>
        <w:rPr>
          <w:lang w:val="en-US"/>
        </w:rPr>
      </w:pPr>
      <w:r>
        <w:rPr>
          <w:lang w:val="en-US"/>
        </w:rPr>
        <w:t>20</w:t>
      </w:r>
      <w:r w:rsidRPr="009C2395">
        <w:rPr>
          <w:lang w:val="en-US"/>
        </w:rPr>
        <w:t xml:space="preserve">. Uygur K, </w:t>
      </w:r>
      <w:proofErr w:type="spellStart"/>
      <w:r w:rsidRPr="009C2395">
        <w:rPr>
          <w:lang w:val="en-US"/>
        </w:rPr>
        <w:t>Tüz</w:t>
      </w:r>
      <w:proofErr w:type="spellEnd"/>
      <w:r w:rsidRPr="009C2395">
        <w:rPr>
          <w:lang w:val="en-US"/>
        </w:rPr>
        <w:t xml:space="preserve"> M, </w:t>
      </w:r>
      <w:proofErr w:type="spellStart"/>
      <w:r w:rsidRPr="009C2395">
        <w:rPr>
          <w:lang w:val="en-US"/>
        </w:rPr>
        <w:t>Doğru</w:t>
      </w:r>
      <w:proofErr w:type="spellEnd"/>
      <w:r w:rsidRPr="009C2395">
        <w:rPr>
          <w:lang w:val="en-US"/>
        </w:rPr>
        <w:t xml:space="preserve"> H. </w:t>
      </w:r>
      <w:proofErr w:type="gramStart"/>
      <w:r w:rsidRPr="009C2395">
        <w:rPr>
          <w:lang w:val="en-US"/>
        </w:rPr>
        <w:t xml:space="preserve">The correlation between </w:t>
      </w:r>
      <w:proofErr w:type="spellStart"/>
      <w:r w:rsidRPr="009C2395">
        <w:rPr>
          <w:lang w:val="en-US"/>
        </w:rPr>
        <w:t>septal</w:t>
      </w:r>
      <w:proofErr w:type="spellEnd"/>
      <w:r w:rsidRPr="009C2395">
        <w:rPr>
          <w:lang w:val="en-US"/>
        </w:rPr>
        <w:t xml:space="preserve"> deviation and concha </w:t>
      </w:r>
      <w:proofErr w:type="spellStart"/>
      <w:r w:rsidRPr="009C2395">
        <w:rPr>
          <w:lang w:val="en-US"/>
        </w:rPr>
        <w:t>bullosa</w:t>
      </w:r>
      <w:proofErr w:type="spellEnd"/>
      <w:r w:rsidRPr="009C2395">
        <w:rPr>
          <w:lang w:val="en-US"/>
        </w:rPr>
        <w:t>.</w:t>
      </w:r>
      <w:proofErr w:type="gramEnd"/>
      <w:r w:rsidRPr="009C2395">
        <w:rPr>
          <w:lang w:val="en-US"/>
        </w:rPr>
        <w:t xml:space="preserve"> </w:t>
      </w:r>
      <w:proofErr w:type="spellStart"/>
      <w:r w:rsidRPr="009C2395">
        <w:rPr>
          <w:lang w:val="en-US"/>
        </w:rPr>
        <w:t>Otolaryngol</w:t>
      </w:r>
      <w:proofErr w:type="spellEnd"/>
      <w:r w:rsidRPr="009C2395">
        <w:rPr>
          <w:lang w:val="en-US"/>
        </w:rPr>
        <w:t xml:space="preserve"> Head Neck Surg. 2003 Jul</w:t>
      </w:r>
      <w:proofErr w:type="gramStart"/>
      <w:r w:rsidRPr="009C2395">
        <w:rPr>
          <w:lang w:val="en-US"/>
        </w:rPr>
        <w:t>;129</w:t>
      </w:r>
      <w:proofErr w:type="gramEnd"/>
      <w:r w:rsidRPr="009C2395">
        <w:rPr>
          <w:lang w:val="en-US"/>
        </w:rPr>
        <w:t>(1):33-6.</w:t>
      </w:r>
    </w:p>
    <w:p w14:paraId="4D961C4A" w14:textId="3D56529F" w:rsidR="00D6061F" w:rsidRPr="009C2395" w:rsidRDefault="00D6061F" w:rsidP="009836BA">
      <w:pPr>
        <w:spacing w:line="480" w:lineRule="auto"/>
        <w:jc w:val="both"/>
        <w:rPr>
          <w:lang w:val="en-US"/>
        </w:rPr>
      </w:pPr>
      <w:r>
        <w:rPr>
          <w:lang w:val="en-US"/>
        </w:rPr>
        <w:t>21</w:t>
      </w:r>
      <w:r w:rsidRPr="009C2395">
        <w:rPr>
          <w:lang w:val="en-US"/>
        </w:rPr>
        <w:t xml:space="preserve">. </w:t>
      </w:r>
      <w:proofErr w:type="spellStart"/>
      <w:r w:rsidRPr="009C2395">
        <w:rPr>
          <w:lang w:val="en-US"/>
        </w:rPr>
        <w:t>Yiğit</w:t>
      </w:r>
      <w:proofErr w:type="spellEnd"/>
      <w:r w:rsidRPr="009C2395">
        <w:rPr>
          <w:lang w:val="en-US"/>
        </w:rPr>
        <w:t xml:space="preserve"> O, </w:t>
      </w:r>
      <w:proofErr w:type="spellStart"/>
      <w:r w:rsidRPr="009C2395">
        <w:rPr>
          <w:lang w:val="en-US"/>
        </w:rPr>
        <w:t>Acioğlu</w:t>
      </w:r>
      <w:proofErr w:type="spellEnd"/>
      <w:r w:rsidRPr="009C2395">
        <w:rPr>
          <w:lang w:val="en-US"/>
        </w:rPr>
        <w:t xml:space="preserve"> E, </w:t>
      </w:r>
      <w:proofErr w:type="spellStart"/>
      <w:r w:rsidRPr="009C2395">
        <w:rPr>
          <w:lang w:val="en-US"/>
        </w:rPr>
        <w:t>Cakir</w:t>
      </w:r>
      <w:proofErr w:type="spellEnd"/>
      <w:r w:rsidRPr="009C2395">
        <w:rPr>
          <w:lang w:val="en-US"/>
        </w:rPr>
        <w:t xml:space="preserve"> ZA, </w:t>
      </w:r>
      <w:proofErr w:type="spellStart"/>
      <w:r w:rsidRPr="009C2395">
        <w:rPr>
          <w:lang w:val="en-US"/>
        </w:rPr>
        <w:t>Sişman</w:t>
      </w:r>
      <w:proofErr w:type="spellEnd"/>
      <w:r w:rsidRPr="009C2395">
        <w:rPr>
          <w:lang w:val="en-US"/>
        </w:rPr>
        <w:t xml:space="preserve"> AS, </w:t>
      </w:r>
      <w:proofErr w:type="spellStart"/>
      <w:r w:rsidRPr="009C2395">
        <w:rPr>
          <w:lang w:val="en-US"/>
        </w:rPr>
        <w:t>Barut</w:t>
      </w:r>
      <w:proofErr w:type="spellEnd"/>
      <w:r w:rsidRPr="009C2395">
        <w:rPr>
          <w:lang w:val="en-US"/>
        </w:rPr>
        <w:t xml:space="preserve"> AY. </w:t>
      </w:r>
      <w:proofErr w:type="gramStart"/>
      <w:r w:rsidRPr="009C2395">
        <w:rPr>
          <w:lang w:val="en-US"/>
        </w:rPr>
        <w:t xml:space="preserve">Concha </w:t>
      </w:r>
      <w:proofErr w:type="spellStart"/>
      <w:r w:rsidRPr="009C2395">
        <w:rPr>
          <w:lang w:val="en-US"/>
        </w:rPr>
        <w:t>bullosa</w:t>
      </w:r>
      <w:proofErr w:type="spellEnd"/>
      <w:r w:rsidRPr="009C2395">
        <w:rPr>
          <w:lang w:val="en-US"/>
        </w:rPr>
        <w:t xml:space="preserve"> and </w:t>
      </w:r>
      <w:proofErr w:type="spellStart"/>
      <w:r w:rsidRPr="009C2395">
        <w:rPr>
          <w:lang w:val="en-US"/>
        </w:rPr>
        <w:t>septal</w:t>
      </w:r>
      <w:proofErr w:type="spellEnd"/>
      <w:r w:rsidRPr="009C2395">
        <w:rPr>
          <w:lang w:val="en-US"/>
        </w:rPr>
        <w:t xml:space="preserve"> deviation.</w:t>
      </w:r>
      <w:proofErr w:type="gramEnd"/>
      <w:r w:rsidRPr="009C2395">
        <w:rPr>
          <w:lang w:val="en-US"/>
        </w:rPr>
        <w:t xml:space="preserve"> </w:t>
      </w:r>
      <w:proofErr w:type="spellStart"/>
      <w:proofErr w:type="gramStart"/>
      <w:r w:rsidRPr="009C2395">
        <w:rPr>
          <w:lang w:val="en-US"/>
        </w:rPr>
        <w:t>Eur</w:t>
      </w:r>
      <w:proofErr w:type="spellEnd"/>
      <w:r w:rsidRPr="009C2395">
        <w:rPr>
          <w:lang w:val="en-US"/>
        </w:rPr>
        <w:t xml:space="preserve"> Arch </w:t>
      </w:r>
      <w:proofErr w:type="spellStart"/>
      <w:r w:rsidRPr="009C2395">
        <w:rPr>
          <w:lang w:val="en-US"/>
        </w:rPr>
        <w:t>Otorhinolaryngol</w:t>
      </w:r>
      <w:proofErr w:type="spellEnd"/>
      <w:r w:rsidRPr="009C2395">
        <w:rPr>
          <w:lang w:val="en-US"/>
        </w:rPr>
        <w:t>.</w:t>
      </w:r>
      <w:proofErr w:type="gramEnd"/>
      <w:r w:rsidRPr="009C2395">
        <w:rPr>
          <w:lang w:val="en-US"/>
        </w:rPr>
        <w:t xml:space="preserve"> 2010 Sep</w:t>
      </w:r>
      <w:proofErr w:type="gramStart"/>
      <w:r w:rsidRPr="009C2395">
        <w:rPr>
          <w:lang w:val="en-US"/>
        </w:rPr>
        <w:t>;267</w:t>
      </w:r>
      <w:proofErr w:type="gramEnd"/>
      <w:r w:rsidRPr="009C2395">
        <w:rPr>
          <w:lang w:val="en-US"/>
        </w:rPr>
        <w:t>(9):1397-401.</w:t>
      </w:r>
    </w:p>
    <w:p w14:paraId="023C0207" w14:textId="77777777" w:rsidR="00FF7816" w:rsidRDefault="00FF7816" w:rsidP="009836BA">
      <w:pPr>
        <w:autoSpaceDE w:val="0"/>
        <w:autoSpaceDN w:val="0"/>
        <w:adjustRightInd w:val="0"/>
        <w:spacing w:line="480" w:lineRule="auto"/>
        <w:jc w:val="both"/>
        <w:rPr>
          <w:rFonts w:ascii="Times New Roman" w:hAnsi="Times New Roman" w:cs="Times New Roman"/>
          <w:b/>
          <w:sz w:val="28"/>
          <w:szCs w:val="28"/>
        </w:rPr>
      </w:pPr>
    </w:p>
    <w:p w14:paraId="63C2426A" w14:textId="77777777" w:rsidR="000F21B1" w:rsidRDefault="000F21B1" w:rsidP="00724048">
      <w:pPr>
        <w:autoSpaceDE w:val="0"/>
        <w:autoSpaceDN w:val="0"/>
        <w:adjustRightInd w:val="0"/>
        <w:spacing w:line="480" w:lineRule="auto"/>
        <w:jc w:val="both"/>
        <w:rPr>
          <w:rFonts w:ascii="Times New Roman" w:hAnsi="Times New Roman" w:cs="Times New Roman"/>
          <w:b/>
          <w:sz w:val="28"/>
          <w:szCs w:val="28"/>
        </w:rPr>
      </w:pPr>
    </w:p>
    <w:p w14:paraId="6B0DAE62" w14:textId="77777777" w:rsidR="002E6D26" w:rsidRDefault="002E6D26" w:rsidP="00724048">
      <w:pPr>
        <w:autoSpaceDE w:val="0"/>
        <w:autoSpaceDN w:val="0"/>
        <w:adjustRightInd w:val="0"/>
        <w:spacing w:line="480" w:lineRule="auto"/>
        <w:jc w:val="both"/>
        <w:rPr>
          <w:rFonts w:ascii="Times New Roman" w:hAnsi="Times New Roman" w:cs="Times New Roman"/>
          <w:b/>
          <w:sz w:val="28"/>
          <w:szCs w:val="28"/>
        </w:rPr>
      </w:pPr>
    </w:p>
    <w:p w14:paraId="06E7C6A3" w14:textId="77777777" w:rsidR="002E6D26" w:rsidRDefault="002E6D26" w:rsidP="00724048">
      <w:pPr>
        <w:autoSpaceDE w:val="0"/>
        <w:autoSpaceDN w:val="0"/>
        <w:adjustRightInd w:val="0"/>
        <w:spacing w:line="480" w:lineRule="auto"/>
        <w:jc w:val="both"/>
        <w:rPr>
          <w:rFonts w:ascii="Times New Roman" w:hAnsi="Times New Roman" w:cs="Times New Roman"/>
          <w:b/>
          <w:sz w:val="28"/>
          <w:szCs w:val="28"/>
        </w:rPr>
      </w:pPr>
    </w:p>
    <w:p w14:paraId="04BC1763" w14:textId="77777777" w:rsidR="002E6D26" w:rsidRDefault="002E6D26" w:rsidP="00724048">
      <w:pPr>
        <w:autoSpaceDE w:val="0"/>
        <w:autoSpaceDN w:val="0"/>
        <w:adjustRightInd w:val="0"/>
        <w:spacing w:line="480" w:lineRule="auto"/>
        <w:jc w:val="both"/>
        <w:rPr>
          <w:rFonts w:ascii="Times New Roman" w:hAnsi="Times New Roman" w:cs="Times New Roman"/>
          <w:b/>
          <w:sz w:val="28"/>
          <w:szCs w:val="28"/>
        </w:rPr>
      </w:pPr>
    </w:p>
    <w:p w14:paraId="3ED9DEF9" w14:textId="77777777" w:rsidR="002E6D26" w:rsidRDefault="002E6D26" w:rsidP="00724048">
      <w:pPr>
        <w:autoSpaceDE w:val="0"/>
        <w:autoSpaceDN w:val="0"/>
        <w:adjustRightInd w:val="0"/>
        <w:spacing w:line="480" w:lineRule="auto"/>
        <w:jc w:val="both"/>
        <w:rPr>
          <w:rFonts w:ascii="Times New Roman" w:hAnsi="Times New Roman" w:cs="Times New Roman"/>
          <w:b/>
          <w:sz w:val="28"/>
          <w:szCs w:val="28"/>
        </w:rPr>
      </w:pPr>
    </w:p>
    <w:p w14:paraId="474BBE2A" w14:textId="77777777" w:rsidR="002E6D26" w:rsidRDefault="002E6D26" w:rsidP="00724048">
      <w:pPr>
        <w:autoSpaceDE w:val="0"/>
        <w:autoSpaceDN w:val="0"/>
        <w:adjustRightInd w:val="0"/>
        <w:spacing w:line="480" w:lineRule="auto"/>
        <w:jc w:val="both"/>
        <w:rPr>
          <w:rFonts w:ascii="Times New Roman" w:hAnsi="Times New Roman" w:cs="Times New Roman"/>
          <w:b/>
          <w:sz w:val="28"/>
          <w:szCs w:val="28"/>
        </w:rPr>
      </w:pPr>
    </w:p>
    <w:p w14:paraId="3FCB2494" w14:textId="77777777" w:rsidR="002E6D26" w:rsidRDefault="002E6D26" w:rsidP="00724048">
      <w:pPr>
        <w:autoSpaceDE w:val="0"/>
        <w:autoSpaceDN w:val="0"/>
        <w:adjustRightInd w:val="0"/>
        <w:spacing w:line="480" w:lineRule="auto"/>
        <w:jc w:val="both"/>
        <w:rPr>
          <w:rFonts w:ascii="Times New Roman" w:hAnsi="Times New Roman" w:cs="Times New Roman"/>
          <w:b/>
          <w:sz w:val="28"/>
          <w:szCs w:val="28"/>
        </w:rPr>
      </w:pPr>
    </w:p>
    <w:p w14:paraId="6F471B01" w14:textId="77777777" w:rsidR="002E6D26" w:rsidRDefault="002E6D26" w:rsidP="00724048">
      <w:pPr>
        <w:autoSpaceDE w:val="0"/>
        <w:autoSpaceDN w:val="0"/>
        <w:adjustRightInd w:val="0"/>
        <w:spacing w:line="480" w:lineRule="auto"/>
        <w:jc w:val="both"/>
        <w:rPr>
          <w:rFonts w:ascii="Times New Roman" w:hAnsi="Times New Roman" w:cs="Times New Roman"/>
          <w:b/>
          <w:sz w:val="28"/>
          <w:szCs w:val="28"/>
        </w:rPr>
      </w:pPr>
    </w:p>
    <w:p w14:paraId="15E3DC05" w14:textId="77777777" w:rsidR="002E6D26" w:rsidRDefault="002E6D26" w:rsidP="00724048">
      <w:pPr>
        <w:autoSpaceDE w:val="0"/>
        <w:autoSpaceDN w:val="0"/>
        <w:adjustRightInd w:val="0"/>
        <w:spacing w:line="480" w:lineRule="auto"/>
        <w:jc w:val="both"/>
        <w:rPr>
          <w:rFonts w:ascii="Times New Roman" w:hAnsi="Times New Roman" w:cs="Times New Roman"/>
          <w:b/>
          <w:sz w:val="28"/>
          <w:szCs w:val="28"/>
        </w:rPr>
      </w:pPr>
    </w:p>
    <w:p w14:paraId="617C5999" w14:textId="77777777" w:rsidR="002E6D26" w:rsidRDefault="002E6D26" w:rsidP="00724048">
      <w:pPr>
        <w:autoSpaceDE w:val="0"/>
        <w:autoSpaceDN w:val="0"/>
        <w:adjustRightInd w:val="0"/>
        <w:spacing w:line="480" w:lineRule="auto"/>
        <w:jc w:val="both"/>
        <w:rPr>
          <w:rFonts w:ascii="Times New Roman" w:hAnsi="Times New Roman" w:cs="Times New Roman"/>
          <w:b/>
          <w:sz w:val="28"/>
          <w:szCs w:val="28"/>
        </w:rPr>
      </w:pPr>
    </w:p>
    <w:p w14:paraId="7A861BBE" w14:textId="77777777" w:rsidR="002E6D26" w:rsidRDefault="002E6D26" w:rsidP="00724048">
      <w:pPr>
        <w:autoSpaceDE w:val="0"/>
        <w:autoSpaceDN w:val="0"/>
        <w:adjustRightInd w:val="0"/>
        <w:spacing w:line="480" w:lineRule="auto"/>
        <w:jc w:val="both"/>
        <w:rPr>
          <w:rFonts w:ascii="Times New Roman" w:hAnsi="Times New Roman" w:cs="Times New Roman"/>
          <w:b/>
          <w:sz w:val="28"/>
          <w:szCs w:val="28"/>
        </w:rPr>
      </w:pPr>
    </w:p>
    <w:p w14:paraId="05E34E13" w14:textId="77777777" w:rsidR="002E6D26" w:rsidRDefault="002E6D26" w:rsidP="00724048">
      <w:pPr>
        <w:autoSpaceDE w:val="0"/>
        <w:autoSpaceDN w:val="0"/>
        <w:adjustRightInd w:val="0"/>
        <w:spacing w:line="480" w:lineRule="auto"/>
        <w:jc w:val="both"/>
        <w:rPr>
          <w:rFonts w:ascii="Times New Roman" w:hAnsi="Times New Roman" w:cs="Times New Roman"/>
          <w:b/>
          <w:sz w:val="28"/>
          <w:szCs w:val="28"/>
        </w:rPr>
      </w:pPr>
    </w:p>
    <w:p w14:paraId="7C36E0BA" w14:textId="77777777" w:rsidR="002E6D26" w:rsidRDefault="002E6D26" w:rsidP="00724048">
      <w:pPr>
        <w:autoSpaceDE w:val="0"/>
        <w:autoSpaceDN w:val="0"/>
        <w:adjustRightInd w:val="0"/>
        <w:spacing w:line="480" w:lineRule="auto"/>
        <w:jc w:val="both"/>
        <w:rPr>
          <w:rFonts w:ascii="Times New Roman" w:hAnsi="Times New Roman" w:cs="Times New Roman"/>
          <w:b/>
          <w:sz w:val="28"/>
          <w:szCs w:val="28"/>
        </w:rPr>
      </w:pPr>
    </w:p>
    <w:p w14:paraId="605837C1" w14:textId="77777777" w:rsidR="002E6D26" w:rsidRDefault="002E6D26" w:rsidP="00724048">
      <w:pPr>
        <w:autoSpaceDE w:val="0"/>
        <w:autoSpaceDN w:val="0"/>
        <w:adjustRightInd w:val="0"/>
        <w:spacing w:line="480" w:lineRule="auto"/>
        <w:jc w:val="both"/>
        <w:rPr>
          <w:rFonts w:ascii="Times New Roman" w:hAnsi="Times New Roman" w:cs="Times New Roman"/>
          <w:b/>
          <w:sz w:val="28"/>
          <w:szCs w:val="28"/>
        </w:rPr>
      </w:pPr>
    </w:p>
    <w:p w14:paraId="335FCE71" w14:textId="77777777" w:rsidR="002E6D26" w:rsidRDefault="002E6D26" w:rsidP="00724048">
      <w:pPr>
        <w:autoSpaceDE w:val="0"/>
        <w:autoSpaceDN w:val="0"/>
        <w:adjustRightInd w:val="0"/>
        <w:spacing w:line="480" w:lineRule="auto"/>
        <w:jc w:val="both"/>
        <w:rPr>
          <w:rFonts w:ascii="Times New Roman" w:hAnsi="Times New Roman" w:cs="Times New Roman"/>
          <w:b/>
          <w:sz w:val="28"/>
          <w:szCs w:val="28"/>
        </w:rPr>
      </w:pPr>
    </w:p>
    <w:p w14:paraId="7D7F8B08" w14:textId="77777777" w:rsidR="002E6D26" w:rsidRDefault="002E6D26" w:rsidP="00724048">
      <w:pPr>
        <w:autoSpaceDE w:val="0"/>
        <w:autoSpaceDN w:val="0"/>
        <w:adjustRightInd w:val="0"/>
        <w:spacing w:line="480" w:lineRule="auto"/>
        <w:jc w:val="both"/>
        <w:rPr>
          <w:rFonts w:ascii="Times New Roman" w:hAnsi="Times New Roman" w:cs="Times New Roman"/>
          <w:b/>
          <w:sz w:val="28"/>
          <w:szCs w:val="28"/>
        </w:rPr>
      </w:pPr>
    </w:p>
    <w:p w14:paraId="3B95A037" w14:textId="77777777" w:rsidR="00C11FCD" w:rsidRDefault="00C11FCD" w:rsidP="00724048">
      <w:pPr>
        <w:autoSpaceDE w:val="0"/>
        <w:autoSpaceDN w:val="0"/>
        <w:adjustRightInd w:val="0"/>
        <w:spacing w:line="480" w:lineRule="auto"/>
        <w:jc w:val="both"/>
        <w:rPr>
          <w:rFonts w:ascii="Times New Roman" w:hAnsi="Times New Roman" w:cs="Times New Roman"/>
          <w:b/>
          <w:sz w:val="28"/>
          <w:szCs w:val="28"/>
        </w:rPr>
      </w:pPr>
    </w:p>
    <w:p w14:paraId="763023E3" w14:textId="77777777" w:rsidR="00C11FCD" w:rsidRDefault="00C11FCD" w:rsidP="00724048">
      <w:pPr>
        <w:autoSpaceDE w:val="0"/>
        <w:autoSpaceDN w:val="0"/>
        <w:adjustRightInd w:val="0"/>
        <w:spacing w:line="480" w:lineRule="auto"/>
        <w:jc w:val="both"/>
        <w:rPr>
          <w:rFonts w:ascii="Times New Roman" w:hAnsi="Times New Roman" w:cs="Times New Roman"/>
          <w:b/>
          <w:sz w:val="28"/>
          <w:szCs w:val="28"/>
        </w:rPr>
      </w:pPr>
    </w:p>
    <w:p w14:paraId="2FDDA75D" w14:textId="77777777" w:rsidR="00C11FCD" w:rsidRDefault="00C11FCD" w:rsidP="00724048">
      <w:pPr>
        <w:autoSpaceDE w:val="0"/>
        <w:autoSpaceDN w:val="0"/>
        <w:adjustRightInd w:val="0"/>
        <w:spacing w:line="480" w:lineRule="auto"/>
        <w:jc w:val="both"/>
        <w:rPr>
          <w:rFonts w:ascii="Times New Roman" w:hAnsi="Times New Roman" w:cs="Times New Roman"/>
          <w:b/>
          <w:sz w:val="28"/>
          <w:szCs w:val="28"/>
        </w:rPr>
      </w:pPr>
    </w:p>
    <w:p w14:paraId="656A63D7" w14:textId="77777777" w:rsidR="00C11FCD" w:rsidRDefault="00C11FCD" w:rsidP="00724048">
      <w:pPr>
        <w:autoSpaceDE w:val="0"/>
        <w:autoSpaceDN w:val="0"/>
        <w:adjustRightInd w:val="0"/>
        <w:spacing w:line="480" w:lineRule="auto"/>
        <w:jc w:val="both"/>
        <w:rPr>
          <w:rFonts w:ascii="Times New Roman" w:hAnsi="Times New Roman" w:cs="Times New Roman"/>
          <w:b/>
          <w:sz w:val="28"/>
          <w:szCs w:val="28"/>
        </w:rPr>
      </w:pPr>
    </w:p>
    <w:p w14:paraId="2E7ACFD3" w14:textId="6890E547" w:rsidR="000F21B1" w:rsidRPr="00D054D4" w:rsidRDefault="00D054D4" w:rsidP="00724048">
      <w:pPr>
        <w:autoSpaceDE w:val="0"/>
        <w:autoSpaceDN w:val="0"/>
        <w:adjustRightInd w:val="0"/>
        <w:spacing w:line="480" w:lineRule="auto"/>
        <w:jc w:val="both"/>
        <w:rPr>
          <w:b/>
        </w:rPr>
      </w:pPr>
      <w:r w:rsidRPr="00D054D4">
        <w:rPr>
          <w:b/>
        </w:rPr>
        <w:t xml:space="preserve">Figure </w:t>
      </w:r>
      <w:proofErr w:type="spellStart"/>
      <w:r w:rsidRPr="00D054D4">
        <w:rPr>
          <w:b/>
        </w:rPr>
        <w:t>Legends</w:t>
      </w:r>
      <w:proofErr w:type="spellEnd"/>
    </w:p>
    <w:p w14:paraId="38839A09" w14:textId="220F0559" w:rsidR="000F21B1" w:rsidRDefault="00D054D4" w:rsidP="00724048">
      <w:pPr>
        <w:autoSpaceDE w:val="0"/>
        <w:autoSpaceDN w:val="0"/>
        <w:adjustRightInd w:val="0"/>
        <w:spacing w:line="480" w:lineRule="auto"/>
        <w:jc w:val="both"/>
      </w:pPr>
      <w:r w:rsidRPr="00D054D4">
        <w:t xml:space="preserve">Figure 1 – Corte axial de TCFC evidenciando em  (A): Acerto da linha média, prévio à </w:t>
      </w:r>
      <w:proofErr w:type="spellStart"/>
      <w:r>
        <w:t>anaise</w:t>
      </w:r>
      <w:proofErr w:type="spellEnd"/>
      <w:r>
        <w:t xml:space="preserve"> do desvio de septo nasal, linha de orientação sagital (em amarelo); (B) Identificação do desvio de septo nasal para lado direito.</w:t>
      </w:r>
    </w:p>
    <w:p w14:paraId="33035635" w14:textId="155F6500" w:rsidR="00D054D4" w:rsidRPr="00D054D4" w:rsidRDefault="00D054D4" w:rsidP="00724048">
      <w:pPr>
        <w:autoSpaceDE w:val="0"/>
        <w:autoSpaceDN w:val="0"/>
        <w:adjustRightInd w:val="0"/>
        <w:spacing w:line="480" w:lineRule="auto"/>
        <w:jc w:val="both"/>
      </w:pPr>
      <w:r>
        <w:t>Figura 2 – Corte coronal de TCFC evidenciando: (A): Acerto do plano oclusal, com linha referencial (vermelho); (B) identificação da concha média bolhosa bilateral.</w:t>
      </w:r>
    </w:p>
    <w:p w14:paraId="2BB91094" w14:textId="77777777" w:rsidR="000F21B1" w:rsidRDefault="000F21B1" w:rsidP="000F21B1">
      <w:pPr>
        <w:autoSpaceDE w:val="0"/>
        <w:autoSpaceDN w:val="0"/>
        <w:adjustRightInd w:val="0"/>
        <w:spacing w:line="360" w:lineRule="auto"/>
        <w:jc w:val="both"/>
        <w:rPr>
          <w:rFonts w:ascii="Times New Roman" w:hAnsi="Times New Roman" w:cs="Times New Roman"/>
          <w:b/>
          <w:sz w:val="28"/>
          <w:szCs w:val="28"/>
        </w:rPr>
      </w:pPr>
    </w:p>
    <w:p w14:paraId="75BDD847" w14:textId="77777777" w:rsidR="000F21B1" w:rsidRDefault="000F21B1" w:rsidP="000F21B1">
      <w:pPr>
        <w:autoSpaceDE w:val="0"/>
        <w:autoSpaceDN w:val="0"/>
        <w:adjustRightInd w:val="0"/>
        <w:spacing w:line="360" w:lineRule="auto"/>
        <w:jc w:val="both"/>
        <w:rPr>
          <w:rFonts w:ascii="Times New Roman" w:hAnsi="Times New Roman" w:cs="Times New Roman"/>
          <w:b/>
          <w:sz w:val="28"/>
          <w:szCs w:val="28"/>
        </w:rPr>
      </w:pPr>
    </w:p>
    <w:p w14:paraId="0F1F05D2" w14:textId="77777777" w:rsidR="000F21B1" w:rsidRDefault="000F21B1" w:rsidP="000F21B1">
      <w:pPr>
        <w:autoSpaceDE w:val="0"/>
        <w:autoSpaceDN w:val="0"/>
        <w:adjustRightInd w:val="0"/>
        <w:spacing w:line="360" w:lineRule="auto"/>
        <w:jc w:val="both"/>
        <w:rPr>
          <w:rFonts w:ascii="Times New Roman" w:hAnsi="Times New Roman" w:cs="Times New Roman"/>
          <w:b/>
          <w:sz w:val="28"/>
          <w:szCs w:val="28"/>
        </w:rPr>
      </w:pPr>
    </w:p>
    <w:p w14:paraId="738A249C" w14:textId="77777777" w:rsidR="00815781" w:rsidRPr="00B0275B" w:rsidRDefault="00815781" w:rsidP="00B0275B">
      <w:pPr>
        <w:spacing w:line="480" w:lineRule="auto"/>
        <w:jc w:val="both"/>
      </w:pPr>
    </w:p>
    <w:sectPr w:rsidR="00815781" w:rsidRPr="00B0275B" w:rsidSect="0077586C">
      <w:headerReference w:type="default" r:id="rId10"/>
      <w:pgSz w:w="11900" w:h="16840"/>
      <w:pgMar w:top="1134"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F1C66F" w14:textId="77777777" w:rsidR="002E7A62" w:rsidRDefault="002E7A62" w:rsidP="0077586C">
      <w:r>
        <w:separator/>
      </w:r>
    </w:p>
  </w:endnote>
  <w:endnote w:type="continuationSeparator" w:id="0">
    <w:p w14:paraId="0C17A1A2" w14:textId="77777777" w:rsidR="002E7A62" w:rsidRDefault="002E7A62" w:rsidP="00775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98EFC" w14:textId="77777777" w:rsidR="002E7A62" w:rsidRDefault="002E7A62" w:rsidP="0077586C">
      <w:r>
        <w:separator/>
      </w:r>
    </w:p>
  </w:footnote>
  <w:footnote w:type="continuationSeparator" w:id="0">
    <w:p w14:paraId="2CD02E4E" w14:textId="77777777" w:rsidR="002E7A62" w:rsidRDefault="002E7A62" w:rsidP="007758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C750F" w14:textId="77777777" w:rsidR="002E7A62" w:rsidRDefault="002E7A62" w:rsidP="00FC5B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284E84" w14:textId="77777777" w:rsidR="002E7A62" w:rsidRDefault="002E7A62" w:rsidP="0077586C">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0225F92D" w14:textId="77777777" w:rsidR="002E7A62" w:rsidRDefault="002E7A62" w:rsidP="0077586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3BA21" w14:textId="77777777" w:rsidR="002E7A62" w:rsidRDefault="002E7A62" w:rsidP="00FC5B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66F3">
      <w:rPr>
        <w:rStyle w:val="PageNumber"/>
        <w:noProof/>
      </w:rPr>
      <w:t>13</w:t>
    </w:r>
    <w:r>
      <w:rPr>
        <w:rStyle w:val="PageNumber"/>
      </w:rPr>
      <w:fldChar w:fldCharType="end"/>
    </w:r>
  </w:p>
  <w:p w14:paraId="6B68E363" w14:textId="77777777" w:rsidR="002E7A62" w:rsidRDefault="002E7A62" w:rsidP="0077586C">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65597"/>
    <w:multiLevelType w:val="hybridMultilevel"/>
    <w:tmpl w:val="36A25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26483E"/>
    <w:multiLevelType w:val="hybridMultilevel"/>
    <w:tmpl w:val="7AAC8DE0"/>
    <w:lvl w:ilvl="0" w:tplc="7D000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2995068"/>
    <w:multiLevelType w:val="hybridMultilevel"/>
    <w:tmpl w:val="B7524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710984"/>
    <w:multiLevelType w:val="hybridMultilevel"/>
    <w:tmpl w:val="7AAC8DE0"/>
    <w:lvl w:ilvl="0" w:tplc="7D000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032"/>
    <w:rsid w:val="00003FA7"/>
    <w:rsid w:val="000055B4"/>
    <w:rsid w:val="00017649"/>
    <w:rsid w:val="00022469"/>
    <w:rsid w:val="000360B9"/>
    <w:rsid w:val="00051911"/>
    <w:rsid w:val="000651AD"/>
    <w:rsid w:val="000A56F6"/>
    <w:rsid w:val="000E5B56"/>
    <w:rsid w:val="000F21B1"/>
    <w:rsid w:val="0013053A"/>
    <w:rsid w:val="00132C5D"/>
    <w:rsid w:val="001337FC"/>
    <w:rsid w:val="00165C21"/>
    <w:rsid w:val="001B1E8A"/>
    <w:rsid w:val="001D3B17"/>
    <w:rsid w:val="00297F25"/>
    <w:rsid w:val="002A1A20"/>
    <w:rsid w:val="002E6D26"/>
    <w:rsid w:val="002E7A62"/>
    <w:rsid w:val="003125E9"/>
    <w:rsid w:val="00332E9A"/>
    <w:rsid w:val="003455AC"/>
    <w:rsid w:val="003463E0"/>
    <w:rsid w:val="0036010A"/>
    <w:rsid w:val="003770C4"/>
    <w:rsid w:val="003974EB"/>
    <w:rsid w:val="003C3C74"/>
    <w:rsid w:val="003D3EF5"/>
    <w:rsid w:val="003F6CCE"/>
    <w:rsid w:val="00431037"/>
    <w:rsid w:val="004612E0"/>
    <w:rsid w:val="00485040"/>
    <w:rsid w:val="00493250"/>
    <w:rsid w:val="004F4615"/>
    <w:rsid w:val="004F7954"/>
    <w:rsid w:val="0050747C"/>
    <w:rsid w:val="00553802"/>
    <w:rsid w:val="005D0976"/>
    <w:rsid w:val="005D66F3"/>
    <w:rsid w:val="005F48B5"/>
    <w:rsid w:val="005F57CC"/>
    <w:rsid w:val="00615619"/>
    <w:rsid w:val="00635B50"/>
    <w:rsid w:val="00640DC0"/>
    <w:rsid w:val="00641727"/>
    <w:rsid w:val="00642B29"/>
    <w:rsid w:val="00674AB2"/>
    <w:rsid w:val="00677785"/>
    <w:rsid w:val="00683E90"/>
    <w:rsid w:val="00694034"/>
    <w:rsid w:val="006A6D51"/>
    <w:rsid w:val="006A7A84"/>
    <w:rsid w:val="006E67B7"/>
    <w:rsid w:val="00723CCA"/>
    <w:rsid w:val="00724048"/>
    <w:rsid w:val="00727205"/>
    <w:rsid w:val="0073050A"/>
    <w:rsid w:val="0077586C"/>
    <w:rsid w:val="00776526"/>
    <w:rsid w:val="00790089"/>
    <w:rsid w:val="007F22CE"/>
    <w:rsid w:val="00805829"/>
    <w:rsid w:val="008129F1"/>
    <w:rsid w:val="00815781"/>
    <w:rsid w:val="00824032"/>
    <w:rsid w:val="008646FE"/>
    <w:rsid w:val="008A5B27"/>
    <w:rsid w:val="00944965"/>
    <w:rsid w:val="00944A0D"/>
    <w:rsid w:val="00961F10"/>
    <w:rsid w:val="009836BA"/>
    <w:rsid w:val="00990A75"/>
    <w:rsid w:val="00997E62"/>
    <w:rsid w:val="009A4684"/>
    <w:rsid w:val="009A5480"/>
    <w:rsid w:val="009B59FD"/>
    <w:rsid w:val="009D3C38"/>
    <w:rsid w:val="00A41D20"/>
    <w:rsid w:val="00A43DE2"/>
    <w:rsid w:val="00A4620E"/>
    <w:rsid w:val="00A522F4"/>
    <w:rsid w:val="00A91E82"/>
    <w:rsid w:val="00A94A26"/>
    <w:rsid w:val="00AE69B8"/>
    <w:rsid w:val="00B0275B"/>
    <w:rsid w:val="00B03B0F"/>
    <w:rsid w:val="00B2584C"/>
    <w:rsid w:val="00B55D5C"/>
    <w:rsid w:val="00B74772"/>
    <w:rsid w:val="00C11FCD"/>
    <w:rsid w:val="00C930AF"/>
    <w:rsid w:val="00C96AD2"/>
    <w:rsid w:val="00CB7C97"/>
    <w:rsid w:val="00CC09ED"/>
    <w:rsid w:val="00D054D4"/>
    <w:rsid w:val="00D14FE7"/>
    <w:rsid w:val="00D22BF2"/>
    <w:rsid w:val="00D30EB2"/>
    <w:rsid w:val="00D354D4"/>
    <w:rsid w:val="00D37BDE"/>
    <w:rsid w:val="00D47F2F"/>
    <w:rsid w:val="00D6061F"/>
    <w:rsid w:val="00E026ED"/>
    <w:rsid w:val="00E258EA"/>
    <w:rsid w:val="00E63943"/>
    <w:rsid w:val="00E77AA3"/>
    <w:rsid w:val="00E84B5B"/>
    <w:rsid w:val="00EB51EE"/>
    <w:rsid w:val="00ED7CB7"/>
    <w:rsid w:val="00EE1193"/>
    <w:rsid w:val="00F42509"/>
    <w:rsid w:val="00F47190"/>
    <w:rsid w:val="00F73190"/>
    <w:rsid w:val="00F732D0"/>
    <w:rsid w:val="00FA40F4"/>
    <w:rsid w:val="00FC5B7A"/>
    <w:rsid w:val="00FF781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855E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pt-B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824032"/>
  </w:style>
  <w:style w:type="character" w:styleId="Hyperlink">
    <w:name w:val="Hyperlink"/>
    <w:basedOn w:val="DefaultParagraphFont"/>
    <w:uiPriority w:val="99"/>
    <w:unhideWhenUsed/>
    <w:rsid w:val="00824032"/>
    <w:rPr>
      <w:color w:val="0000FF" w:themeColor="hyperlink"/>
      <w:u w:val="single"/>
    </w:rPr>
  </w:style>
  <w:style w:type="paragraph" w:styleId="ListParagraph">
    <w:name w:val="List Paragraph"/>
    <w:basedOn w:val="Normal"/>
    <w:uiPriority w:val="34"/>
    <w:qFormat/>
    <w:rsid w:val="000F21B1"/>
    <w:pPr>
      <w:spacing w:after="200" w:line="276" w:lineRule="auto"/>
      <w:ind w:left="720"/>
      <w:contextualSpacing/>
    </w:pPr>
    <w:rPr>
      <w:rFonts w:asciiTheme="minorHAnsi" w:hAnsiTheme="minorHAnsi" w:cstheme="minorBidi"/>
      <w:sz w:val="22"/>
      <w:szCs w:val="22"/>
      <w:lang w:eastAsia="pt-BR"/>
    </w:rPr>
  </w:style>
  <w:style w:type="table" w:styleId="TableGrid">
    <w:name w:val="Table Grid"/>
    <w:basedOn w:val="TableNormal"/>
    <w:uiPriority w:val="59"/>
    <w:rsid w:val="000F21B1"/>
    <w:rPr>
      <w:rFonts w:ascii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F21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21B1"/>
    <w:rPr>
      <w:rFonts w:ascii="Lucida Grande" w:hAnsi="Lucida Grande" w:cs="Lucida Grande"/>
      <w:sz w:val="18"/>
      <w:szCs w:val="18"/>
    </w:rPr>
  </w:style>
  <w:style w:type="character" w:customStyle="1" w:styleId="apple-converted-space">
    <w:name w:val="apple-converted-space"/>
    <w:basedOn w:val="DefaultParagraphFont"/>
    <w:rsid w:val="00FF7816"/>
  </w:style>
  <w:style w:type="character" w:customStyle="1" w:styleId="article-title">
    <w:name w:val="article-title"/>
    <w:basedOn w:val="DefaultParagraphFont"/>
    <w:rsid w:val="00FF7816"/>
  </w:style>
  <w:style w:type="character" w:styleId="FollowedHyperlink">
    <w:name w:val="FollowedHyperlink"/>
    <w:basedOn w:val="DefaultParagraphFont"/>
    <w:uiPriority w:val="99"/>
    <w:semiHidden/>
    <w:unhideWhenUsed/>
    <w:rsid w:val="00B74772"/>
    <w:rPr>
      <w:color w:val="800080" w:themeColor="followedHyperlink"/>
      <w:u w:val="single"/>
    </w:rPr>
  </w:style>
  <w:style w:type="paragraph" w:styleId="Header">
    <w:name w:val="header"/>
    <w:basedOn w:val="Normal"/>
    <w:link w:val="HeaderChar"/>
    <w:uiPriority w:val="99"/>
    <w:unhideWhenUsed/>
    <w:rsid w:val="0077586C"/>
    <w:pPr>
      <w:tabs>
        <w:tab w:val="center" w:pos="4320"/>
        <w:tab w:val="right" w:pos="8640"/>
      </w:tabs>
    </w:pPr>
  </w:style>
  <w:style w:type="character" w:customStyle="1" w:styleId="HeaderChar">
    <w:name w:val="Header Char"/>
    <w:basedOn w:val="DefaultParagraphFont"/>
    <w:link w:val="Header"/>
    <w:uiPriority w:val="99"/>
    <w:rsid w:val="0077586C"/>
  </w:style>
  <w:style w:type="paragraph" w:styleId="Footer">
    <w:name w:val="footer"/>
    <w:basedOn w:val="Normal"/>
    <w:link w:val="FooterChar"/>
    <w:uiPriority w:val="99"/>
    <w:unhideWhenUsed/>
    <w:rsid w:val="0077586C"/>
    <w:pPr>
      <w:tabs>
        <w:tab w:val="center" w:pos="4320"/>
        <w:tab w:val="right" w:pos="8640"/>
      </w:tabs>
    </w:pPr>
  </w:style>
  <w:style w:type="character" w:customStyle="1" w:styleId="FooterChar">
    <w:name w:val="Footer Char"/>
    <w:basedOn w:val="DefaultParagraphFont"/>
    <w:link w:val="Footer"/>
    <w:uiPriority w:val="99"/>
    <w:rsid w:val="0077586C"/>
  </w:style>
  <w:style w:type="character" w:styleId="PageNumber">
    <w:name w:val="page number"/>
    <w:basedOn w:val="DefaultParagraphFont"/>
    <w:uiPriority w:val="99"/>
    <w:semiHidden/>
    <w:unhideWhenUsed/>
    <w:rsid w:val="0077586C"/>
  </w:style>
  <w:style w:type="character" w:customStyle="1" w:styleId="hps">
    <w:name w:val="hps"/>
    <w:basedOn w:val="DefaultParagraphFont"/>
    <w:rsid w:val="003C3C7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pt-B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824032"/>
  </w:style>
  <w:style w:type="character" w:styleId="Hyperlink">
    <w:name w:val="Hyperlink"/>
    <w:basedOn w:val="DefaultParagraphFont"/>
    <w:uiPriority w:val="99"/>
    <w:unhideWhenUsed/>
    <w:rsid w:val="00824032"/>
    <w:rPr>
      <w:color w:val="0000FF" w:themeColor="hyperlink"/>
      <w:u w:val="single"/>
    </w:rPr>
  </w:style>
  <w:style w:type="paragraph" w:styleId="ListParagraph">
    <w:name w:val="List Paragraph"/>
    <w:basedOn w:val="Normal"/>
    <w:uiPriority w:val="34"/>
    <w:qFormat/>
    <w:rsid w:val="000F21B1"/>
    <w:pPr>
      <w:spacing w:after="200" w:line="276" w:lineRule="auto"/>
      <w:ind w:left="720"/>
      <w:contextualSpacing/>
    </w:pPr>
    <w:rPr>
      <w:rFonts w:asciiTheme="minorHAnsi" w:hAnsiTheme="minorHAnsi" w:cstheme="minorBidi"/>
      <w:sz w:val="22"/>
      <w:szCs w:val="22"/>
      <w:lang w:eastAsia="pt-BR"/>
    </w:rPr>
  </w:style>
  <w:style w:type="table" w:styleId="TableGrid">
    <w:name w:val="Table Grid"/>
    <w:basedOn w:val="TableNormal"/>
    <w:uiPriority w:val="59"/>
    <w:rsid w:val="000F21B1"/>
    <w:rPr>
      <w:rFonts w:ascii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F21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21B1"/>
    <w:rPr>
      <w:rFonts w:ascii="Lucida Grande" w:hAnsi="Lucida Grande" w:cs="Lucida Grande"/>
      <w:sz w:val="18"/>
      <w:szCs w:val="18"/>
    </w:rPr>
  </w:style>
  <w:style w:type="character" w:customStyle="1" w:styleId="apple-converted-space">
    <w:name w:val="apple-converted-space"/>
    <w:basedOn w:val="DefaultParagraphFont"/>
    <w:rsid w:val="00FF7816"/>
  </w:style>
  <w:style w:type="character" w:customStyle="1" w:styleId="article-title">
    <w:name w:val="article-title"/>
    <w:basedOn w:val="DefaultParagraphFont"/>
    <w:rsid w:val="00FF7816"/>
  </w:style>
  <w:style w:type="character" w:styleId="FollowedHyperlink">
    <w:name w:val="FollowedHyperlink"/>
    <w:basedOn w:val="DefaultParagraphFont"/>
    <w:uiPriority w:val="99"/>
    <w:semiHidden/>
    <w:unhideWhenUsed/>
    <w:rsid w:val="00B74772"/>
    <w:rPr>
      <w:color w:val="800080" w:themeColor="followedHyperlink"/>
      <w:u w:val="single"/>
    </w:rPr>
  </w:style>
  <w:style w:type="paragraph" w:styleId="Header">
    <w:name w:val="header"/>
    <w:basedOn w:val="Normal"/>
    <w:link w:val="HeaderChar"/>
    <w:uiPriority w:val="99"/>
    <w:unhideWhenUsed/>
    <w:rsid w:val="0077586C"/>
    <w:pPr>
      <w:tabs>
        <w:tab w:val="center" w:pos="4320"/>
        <w:tab w:val="right" w:pos="8640"/>
      </w:tabs>
    </w:pPr>
  </w:style>
  <w:style w:type="character" w:customStyle="1" w:styleId="HeaderChar">
    <w:name w:val="Header Char"/>
    <w:basedOn w:val="DefaultParagraphFont"/>
    <w:link w:val="Header"/>
    <w:uiPriority w:val="99"/>
    <w:rsid w:val="0077586C"/>
  </w:style>
  <w:style w:type="paragraph" w:styleId="Footer">
    <w:name w:val="footer"/>
    <w:basedOn w:val="Normal"/>
    <w:link w:val="FooterChar"/>
    <w:uiPriority w:val="99"/>
    <w:unhideWhenUsed/>
    <w:rsid w:val="0077586C"/>
    <w:pPr>
      <w:tabs>
        <w:tab w:val="center" w:pos="4320"/>
        <w:tab w:val="right" w:pos="8640"/>
      </w:tabs>
    </w:pPr>
  </w:style>
  <w:style w:type="character" w:customStyle="1" w:styleId="FooterChar">
    <w:name w:val="Footer Char"/>
    <w:basedOn w:val="DefaultParagraphFont"/>
    <w:link w:val="Footer"/>
    <w:uiPriority w:val="99"/>
    <w:rsid w:val="0077586C"/>
  </w:style>
  <w:style w:type="character" w:styleId="PageNumber">
    <w:name w:val="page number"/>
    <w:basedOn w:val="DefaultParagraphFont"/>
    <w:uiPriority w:val="99"/>
    <w:semiHidden/>
    <w:unhideWhenUsed/>
    <w:rsid w:val="0077586C"/>
  </w:style>
  <w:style w:type="character" w:customStyle="1" w:styleId="hps">
    <w:name w:val="hps"/>
    <w:basedOn w:val="DefaultParagraphFont"/>
    <w:rsid w:val="003C3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yperlink" Target="http://pt.wikipedia.org/wiki/Nova_Iorque_(estado)" TargetMode="Externa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15</Pages>
  <Words>3217</Words>
  <Characters>18339</Characters>
  <Application>Microsoft Macintosh Word</Application>
  <DocSecurity>0</DocSecurity>
  <Lines>152</Lines>
  <Paragraphs>43</Paragraphs>
  <ScaleCrop>false</ScaleCrop>
  <Company>UNESP</Company>
  <LinksUpToDate>false</LinksUpToDate>
  <CharactersWithSpaces>21513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Lopes</dc:creator>
  <cp:keywords/>
  <dc:description/>
  <cp:lastModifiedBy>Sergio Lopes</cp:lastModifiedBy>
  <cp:revision>96</cp:revision>
  <dcterms:created xsi:type="dcterms:W3CDTF">2014-12-08T16:43:00Z</dcterms:created>
  <dcterms:modified xsi:type="dcterms:W3CDTF">2014-12-09T12:16:00Z</dcterms:modified>
</cp:coreProperties>
</file>