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45" w:rsidRPr="008642FA" w:rsidRDefault="00F647E6">
      <w:pPr>
        <w:spacing w:line="360" w:lineRule="auto"/>
        <w:jc w:val="both"/>
        <w:rPr>
          <w:rFonts w:ascii="Arial" w:hAnsi="Arial" w:cs="Arial"/>
          <w:b/>
          <w:sz w:val="24"/>
          <w:szCs w:val="24"/>
        </w:rPr>
      </w:pPr>
      <w:r w:rsidRPr="008642FA">
        <w:rPr>
          <w:rFonts w:ascii="Arial" w:hAnsi="Arial" w:cs="Arial"/>
          <w:b/>
          <w:sz w:val="24"/>
          <w:szCs w:val="24"/>
        </w:rPr>
        <w:t>Avaliação da resistência de união da resina composta ao esmalte desmineralizado submetido à remineralização e infiltração de cárie</w:t>
      </w:r>
    </w:p>
    <w:p w:rsidR="00256E45" w:rsidRPr="008642FA" w:rsidRDefault="00F647E6">
      <w:pPr>
        <w:spacing w:line="360" w:lineRule="auto"/>
        <w:jc w:val="both"/>
        <w:rPr>
          <w:rFonts w:ascii="Arial" w:hAnsi="Arial" w:cs="Arial"/>
          <w:b/>
          <w:i/>
          <w:sz w:val="24"/>
          <w:szCs w:val="24"/>
          <w:lang w:val="en-US"/>
        </w:rPr>
      </w:pPr>
      <w:r w:rsidRPr="008642FA">
        <w:rPr>
          <w:rFonts w:ascii="Arial" w:hAnsi="Arial" w:cs="Arial"/>
          <w:b/>
          <w:i/>
          <w:sz w:val="24"/>
          <w:szCs w:val="24"/>
          <w:lang w:val="en-US"/>
        </w:rPr>
        <w:t>Evaluation of bond strength of composite resin to enamel demineralized and subjectec to remineralization of caries infiltration</w:t>
      </w:r>
    </w:p>
    <w:p w:rsidR="00A43A2F" w:rsidRPr="008642FA" w:rsidRDefault="00A43A2F" w:rsidP="00C77CF0">
      <w:pPr>
        <w:spacing w:line="480" w:lineRule="auto"/>
        <w:rPr>
          <w:rFonts w:ascii="Arial" w:hAnsi="Arial" w:cs="Arial"/>
          <w:sz w:val="24"/>
          <w:szCs w:val="24"/>
        </w:rPr>
      </w:pPr>
    </w:p>
    <w:p w:rsidR="00256E45" w:rsidRPr="008642FA" w:rsidRDefault="00F647E6" w:rsidP="00C77CF0">
      <w:pPr>
        <w:pStyle w:val="NormalVerdana"/>
        <w:spacing w:line="480" w:lineRule="auto"/>
        <w:jc w:val="both"/>
        <w:rPr>
          <w:rFonts w:ascii="Arial" w:hAnsi="Arial" w:cs="Arial"/>
          <w:b/>
          <w:lang w:val="en-US"/>
        </w:rPr>
      </w:pPr>
      <w:r w:rsidRPr="008642FA">
        <w:rPr>
          <w:rFonts w:ascii="Arial" w:hAnsi="Arial" w:cs="Arial"/>
          <w:b/>
          <w:lang w:val="en-US"/>
        </w:rPr>
        <w:t>INTRODUÇÃO</w:t>
      </w:r>
    </w:p>
    <w:p w:rsidR="00256E45" w:rsidRPr="008642FA" w:rsidRDefault="00F647E6" w:rsidP="00C77CF0">
      <w:pPr>
        <w:pStyle w:val="SemEspaamento"/>
        <w:spacing w:line="480" w:lineRule="auto"/>
        <w:jc w:val="both"/>
        <w:rPr>
          <w:rFonts w:ascii="Arial" w:hAnsi="Arial" w:cs="Arial"/>
          <w:sz w:val="24"/>
          <w:szCs w:val="24"/>
        </w:rPr>
      </w:pPr>
      <w:r w:rsidRPr="008642FA">
        <w:rPr>
          <w:rFonts w:ascii="Arial" w:hAnsi="Arial" w:cs="Arial"/>
          <w:sz w:val="24"/>
          <w:szCs w:val="24"/>
          <w:lang w:val="en-US"/>
        </w:rPr>
        <w:tab/>
      </w:r>
      <w:r w:rsidRPr="008642FA">
        <w:rPr>
          <w:rFonts w:ascii="Arial" w:hAnsi="Arial" w:cs="Arial"/>
          <w:sz w:val="24"/>
          <w:szCs w:val="24"/>
        </w:rPr>
        <w:t xml:space="preserve">O esmalte dentário é um tecido acelular altamente mineralizado, no qual cristais microscópicos de fosfato de cálcio compreendem 99% do peso seco. Os cristais assemelham-se à hidroxiapatita mineral, </w:t>
      </w:r>
      <w:r w:rsidRPr="008642FA">
        <w:rPr>
          <w:rFonts w:ascii="Arial" w:hAnsi="Arial" w:cs="Arial"/>
          <w:sz w:val="24"/>
          <w:szCs w:val="24"/>
          <w:lang w:val="pt-PT"/>
        </w:rPr>
        <w:t>Ca</w:t>
      </w:r>
      <w:r w:rsidRPr="008642FA">
        <w:rPr>
          <w:rFonts w:ascii="Arial" w:hAnsi="Arial" w:cs="Arial"/>
          <w:sz w:val="24"/>
          <w:szCs w:val="24"/>
          <w:vertAlign w:val="subscript"/>
          <w:lang w:val="pt-PT"/>
        </w:rPr>
        <w:t>10</w:t>
      </w:r>
      <w:r w:rsidRPr="008642FA">
        <w:rPr>
          <w:rFonts w:ascii="Arial" w:hAnsi="Arial" w:cs="Arial"/>
          <w:sz w:val="24"/>
          <w:szCs w:val="24"/>
          <w:lang w:val="pt-PT"/>
        </w:rPr>
        <w:t>(PO</w:t>
      </w:r>
      <w:r w:rsidRPr="008642FA">
        <w:rPr>
          <w:rFonts w:ascii="Arial" w:hAnsi="Arial" w:cs="Arial"/>
          <w:sz w:val="24"/>
          <w:szCs w:val="24"/>
          <w:vertAlign w:val="subscript"/>
          <w:lang w:val="pt-PT"/>
        </w:rPr>
        <w:t>4</w:t>
      </w:r>
      <w:r w:rsidRPr="008642FA">
        <w:rPr>
          <w:rFonts w:ascii="Arial" w:hAnsi="Arial" w:cs="Arial"/>
          <w:sz w:val="24"/>
          <w:szCs w:val="24"/>
          <w:lang w:val="pt-PT"/>
        </w:rPr>
        <w:t>)</w:t>
      </w:r>
      <w:r w:rsidRPr="008642FA">
        <w:rPr>
          <w:rFonts w:ascii="Arial" w:hAnsi="Arial" w:cs="Arial"/>
          <w:sz w:val="24"/>
          <w:szCs w:val="24"/>
          <w:vertAlign w:val="subscript"/>
          <w:lang w:val="pt-PT"/>
        </w:rPr>
        <w:t>6</w:t>
      </w:r>
      <w:r w:rsidRPr="008642FA">
        <w:rPr>
          <w:rFonts w:ascii="Arial" w:hAnsi="Arial" w:cs="Arial"/>
          <w:sz w:val="24"/>
          <w:szCs w:val="24"/>
          <w:lang w:val="pt-PT"/>
        </w:rPr>
        <w:t>(OH)</w:t>
      </w:r>
      <w:r w:rsidRPr="008642FA">
        <w:rPr>
          <w:rFonts w:ascii="Arial" w:hAnsi="Arial" w:cs="Arial"/>
          <w:sz w:val="24"/>
          <w:szCs w:val="24"/>
          <w:vertAlign w:val="subscript"/>
          <w:lang w:val="pt-PT"/>
        </w:rPr>
        <w:t xml:space="preserve">2, </w:t>
      </w:r>
      <w:r w:rsidRPr="008642FA">
        <w:rPr>
          <w:rFonts w:ascii="Arial" w:hAnsi="Arial" w:cs="Arial"/>
          <w:sz w:val="24"/>
          <w:szCs w:val="24"/>
        </w:rPr>
        <w:t>sendo que o cálcio, o fosfato e ânions de hidroxila estão organizados num padrão repetitivo. Inclusões de carbonato, sódio, flúor e outros íons fazem dele uma forma impura de mineral. Nos cristais do esmalte, alguns íons fosfato são substituídos por íons carbonato, freqüentemente pela substituição simultânea do cálcio por sódio.. Adicionalmente, alguns íons hidroxila são substituídos por íons flúor, porém não há limite para a possível extensão dessa substituição; 100% de substituição resulta em fluorapatita, no entanto, esse mineral é raramente encontrado em tecidos biológicos. Pode-se dizer que o carbonato e o flúor estão incrustrados no cristal porque eles mudam a dimensão da treliça do mesmo. A apatita do esmalte e a maioria das outras apatitas biológicas são, consequentemente, uma fluoridroxiapatita carbonatada</w:t>
      </w:r>
      <w:r w:rsidR="005D29DA" w:rsidRPr="008642FA">
        <w:rPr>
          <w:rFonts w:ascii="Arial" w:hAnsi="Arial" w:cs="Arial"/>
          <w:sz w:val="24"/>
          <w:szCs w:val="24"/>
        </w:rPr>
        <w:t xml:space="preserve"> </w:t>
      </w:r>
      <w:r w:rsidRPr="008642FA">
        <w:rPr>
          <w:rFonts w:ascii="Arial" w:hAnsi="Arial" w:cs="Arial"/>
          <w:color w:val="000000"/>
          <w:sz w:val="24"/>
          <w:szCs w:val="24"/>
        </w:rPr>
        <w:t>[1].</w:t>
      </w:r>
    </w:p>
    <w:p w:rsidR="00256E45" w:rsidRPr="008642FA" w:rsidRDefault="00F647E6" w:rsidP="00C77CF0">
      <w:pPr>
        <w:pStyle w:val="SemEspaamento"/>
        <w:spacing w:line="480" w:lineRule="auto"/>
        <w:jc w:val="both"/>
        <w:rPr>
          <w:rFonts w:ascii="Arial" w:hAnsi="Arial" w:cs="Arial"/>
          <w:sz w:val="24"/>
          <w:szCs w:val="24"/>
        </w:rPr>
      </w:pPr>
      <w:r w:rsidRPr="008642FA">
        <w:rPr>
          <w:rFonts w:ascii="Arial" w:hAnsi="Arial" w:cs="Arial"/>
          <w:sz w:val="24"/>
          <w:szCs w:val="24"/>
          <w:lang w:eastAsia="pt-BR"/>
        </w:rPr>
        <w:tab/>
        <w:t xml:space="preserve">Por ação do metabolismo físico-químico proveniente da dieta e condições fisiológicas do meio bucal como a saliva, temperatura, pH e demais fluidos, o esmalte sofre constantemente um processo de desmineralização e remineralização </w:t>
      </w:r>
      <w:r w:rsidRPr="008642FA">
        <w:rPr>
          <w:rFonts w:ascii="Arial" w:hAnsi="Arial" w:cs="Arial"/>
          <w:color w:val="000000"/>
          <w:sz w:val="24"/>
          <w:szCs w:val="24"/>
          <w:lang w:eastAsia="pt-BR"/>
        </w:rPr>
        <w:t>[2].</w:t>
      </w:r>
      <w:r w:rsidR="005D29DA" w:rsidRPr="008642FA">
        <w:rPr>
          <w:rFonts w:ascii="Arial" w:hAnsi="Arial" w:cs="Arial"/>
          <w:color w:val="000000"/>
          <w:sz w:val="24"/>
          <w:szCs w:val="24"/>
          <w:lang w:eastAsia="pt-BR"/>
        </w:rPr>
        <w:t xml:space="preserve"> </w:t>
      </w:r>
      <w:r w:rsidRPr="008642FA">
        <w:rPr>
          <w:rFonts w:ascii="Arial" w:hAnsi="Arial" w:cs="Arial"/>
          <w:sz w:val="24"/>
          <w:szCs w:val="24"/>
          <w:lang w:eastAsia="pt-BR"/>
        </w:rPr>
        <w:t>A hidroxiapatita presente no esmalte torna-se susceptível à dissolução quando existe uma significante  quantidade de ácidos e o pH encontra-se em um nível crítico (pH=5,5). Assim, a concentração de íons cálcio (</w:t>
      </w:r>
      <w:r w:rsidRPr="008642FA">
        <w:rPr>
          <w:rFonts w:ascii="Arial" w:hAnsi="Arial" w:cs="Arial"/>
          <w:sz w:val="24"/>
          <w:szCs w:val="24"/>
        </w:rPr>
        <w:t>Ca</w:t>
      </w:r>
      <w:r w:rsidRPr="008642FA">
        <w:rPr>
          <w:rFonts w:ascii="Arial" w:hAnsi="Arial" w:cs="Arial"/>
          <w:sz w:val="24"/>
          <w:szCs w:val="24"/>
          <w:vertAlign w:val="superscript"/>
        </w:rPr>
        <w:t>2+</w:t>
      </w:r>
      <w:r w:rsidRPr="008642FA">
        <w:rPr>
          <w:rFonts w:ascii="Arial" w:hAnsi="Arial" w:cs="Arial"/>
          <w:sz w:val="24"/>
          <w:szCs w:val="24"/>
          <w:lang w:eastAsia="pt-BR"/>
        </w:rPr>
        <w:t>) e fosfato (</w:t>
      </w:r>
      <w:r w:rsidRPr="008642FA">
        <w:rPr>
          <w:rFonts w:ascii="Arial" w:hAnsi="Arial" w:cs="Arial"/>
          <w:sz w:val="24"/>
          <w:szCs w:val="24"/>
        </w:rPr>
        <w:t>HPO</w:t>
      </w:r>
      <w:r w:rsidRPr="008642FA">
        <w:rPr>
          <w:rFonts w:ascii="Arial" w:hAnsi="Arial" w:cs="Arial"/>
          <w:sz w:val="24"/>
          <w:szCs w:val="24"/>
          <w:vertAlign w:val="subscript"/>
        </w:rPr>
        <w:t>4</w:t>
      </w:r>
      <w:r w:rsidRPr="008642FA">
        <w:rPr>
          <w:rFonts w:ascii="Arial" w:hAnsi="Arial" w:cs="Arial"/>
          <w:sz w:val="24"/>
          <w:szCs w:val="24"/>
          <w:vertAlign w:val="superscript"/>
        </w:rPr>
        <w:t>2-</w:t>
      </w:r>
      <w:r w:rsidRPr="008642FA">
        <w:rPr>
          <w:rFonts w:ascii="Arial" w:hAnsi="Arial" w:cs="Arial"/>
          <w:sz w:val="24"/>
          <w:szCs w:val="24"/>
          <w:lang w:eastAsia="pt-BR"/>
        </w:rPr>
        <w:t xml:space="preserve">) diminuem em comparação ao produto de solubilidade da hidroxiapatita, estimulando uma tendência físico-química do </w:t>
      </w:r>
      <w:r w:rsidRPr="008642FA">
        <w:rPr>
          <w:rFonts w:ascii="Arial" w:hAnsi="Arial" w:cs="Arial"/>
          <w:sz w:val="24"/>
          <w:szCs w:val="24"/>
          <w:lang w:eastAsia="pt-BR"/>
        </w:rPr>
        <w:lastRenderedPageBreak/>
        <w:t xml:space="preserve">esmalte a perder </w:t>
      </w:r>
      <w:r w:rsidRPr="008642FA">
        <w:rPr>
          <w:rFonts w:ascii="Arial" w:hAnsi="Arial" w:cs="Arial"/>
          <w:sz w:val="24"/>
          <w:szCs w:val="24"/>
        </w:rPr>
        <w:t>Ca</w:t>
      </w:r>
      <w:r w:rsidRPr="008642FA">
        <w:rPr>
          <w:rFonts w:ascii="Arial" w:hAnsi="Arial" w:cs="Arial"/>
          <w:sz w:val="24"/>
          <w:szCs w:val="24"/>
          <w:vertAlign w:val="superscript"/>
        </w:rPr>
        <w:t>2+</w:t>
      </w:r>
      <w:r w:rsidRPr="008642FA">
        <w:rPr>
          <w:rFonts w:ascii="Arial" w:hAnsi="Arial" w:cs="Arial"/>
          <w:sz w:val="24"/>
          <w:szCs w:val="24"/>
          <w:lang w:eastAsia="pt-BR"/>
        </w:rPr>
        <w:t xml:space="preserve"> e </w:t>
      </w:r>
      <w:r w:rsidRPr="008642FA">
        <w:rPr>
          <w:rFonts w:ascii="Arial" w:hAnsi="Arial" w:cs="Arial"/>
          <w:sz w:val="24"/>
          <w:szCs w:val="24"/>
        </w:rPr>
        <w:t>HPO</w:t>
      </w:r>
      <w:r w:rsidRPr="008642FA">
        <w:rPr>
          <w:rFonts w:ascii="Arial" w:hAnsi="Arial" w:cs="Arial"/>
          <w:sz w:val="24"/>
          <w:szCs w:val="24"/>
          <w:vertAlign w:val="subscript"/>
        </w:rPr>
        <w:t>4</w:t>
      </w:r>
      <w:r w:rsidRPr="008642FA">
        <w:rPr>
          <w:rFonts w:ascii="Arial" w:hAnsi="Arial" w:cs="Arial"/>
          <w:sz w:val="24"/>
          <w:szCs w:val="24"/>
          <w:vertAlign w:val="superscript"/>
        </w:rPr>
        <w:t>2-</w:t>
      </w:r>
      <w:r w:rsidRPr="008642FA">
        <w:rPr>
          <w:rFonts w:ascii="Arial" w:hAnsi="Arial" w:cs="Arial"/>
          <w:sz w:val="24"/>
          <w:szCs w:val="24"/>
          <w:lang w:eastAsia="pt-BR"/>
        </w:rPr>
        <w:t xml:space="preserve"> para o meio oral, na tentativa de re</w:t>
      </w:r>
      <w:r w:rsidR="005D29DA" w:rsidRPr="008642FA">
        <w:rPr>
          <w:rFonts w:ascii="Arial" w:hAnsi="Arial" w:cs="Arial"/>
          <w:sz w:val="24"/>
          <w:szCs w:val="24"/>
          <w:lang w:eastAsia="pt-BR"/>
        </w:rPr>
        <w:t xml:space="preserve">cuperar um estado de equilíbrio, </w:t>
      </w:r>
      <w:r w:rsidRPr="008642FA">
        <w:rPr>
          <w:rFonts w:ascii="Arial" w:hAnsi="Arial" w:cs="Arial"/>
          <w:sz w:val="24"/>
          <w:szCs w:val="24"/>
          <w:lang w:eastAsia="pt-BR"/>
        </w:rPr>
        <w:t xml:space="preserve">fenômeno </w:t>
      </w:r>
      <w:r w:rsidR="005D29DA" w:rsidRPr="008642FA">
        <w:rPr>
          <w:rFonts w:ascii="Arial" w:hAnsi="Arial" w:cs="Arial"/>
          <w:sz w:val="24"/>
          <w:szCs w:val="24"/>
          <w:lang w:eastAsia="pt-BR"/>
        </w:rPr>
        <w:t>conhecido como</w:t>
      </w:r>
      <w:r w:rsidRPr="008642FA">
        <w:rPr>
          <w:rFonts w:ascii="Arial" w:hAnsi="Arial" w:cs="Arial"/>
          <w:sz w:val="24"/>
          <w:szCs w:val="24"/>
          <w:lang w:eastAsia="pt-BR"/>
        </w:rPr>
        <w:t xml:space="preserve"> desmineralização, </w:t>
      </w:r>
      <w:r w:rsidR="005D29DA" w:rsidRPr="008642FA">
        <w:rPr>
          <w:rFonts w:ascii="Arial" w:hAnsi="Arial" w:cs="Arial"/>
          <w:sz w:val="24"/>
          <w:szCs w:val="24"/>
          <w:lang w:eastAsia="pt-BR"/>
        </w:rPr>
        <w:t>aumentando</w:t>
      </w:r>
      <w:r w:rsidRPr="008642FA">
        <w:rPr>
          <w:rFonts w:ascii="Arial" w:hAnsi="Arial" w:cs="Arial"/>
          <w:sz w:val="24"/>
          <w:szCs w:val="24"/>
          <w:lang w:eastAsia="pt-BR"/>
        </w:rPr>
        <w:t xml:space="preserve"> a solubilidade </w:t>
      </w:r>
      <w:r w:rsidR="005D29DA" w:rsidRPr="008642FA">
        <w:rPr>
          <w:rFonts w:ascii="Arial" w:hAnsi="Arial" w:cs="Arial"/>
          <w:sz w:val="24"/>
          <w:szCs w:val="24"/>
          <w:lang w:eastAsia="pt-BR"/>
        </w:rPr>
        <w:t>e</w:t>
      </w:r>
      <w:r w:rsidRPr="008642FA">
        <w:rPr>
          <w:rFonts w:ascii="Arial" w:hAnsi="Arial" w:cs="Arial"/>
          <w:sz w:val="24"/>
          <w:szCs w:val="24"/>
        </w:rPr>
        <w:t xml:space="preserve"> forma</w:t>
      </w:r>
      <w:r w:rsidR="005D29DA" w:rsidRPr="008642FA">
        <w:rPr>
          <w:rFonts w:ascii="Arial" w:hAnsi="Arial" w:cs="Arial"/>
          <w:sz w:val="24"/>
          <w:szCs w:val="24"/>
        </w:rPr>
        <w:t>ndo-se</w:t>
      </w:r>
      <w:r w:rsidRPr="008642FA">
        <w:rPr>
          <w:rFonts w:ascii="Arial" w:hAnsi="Arial" w:cs="Arial"/>
          <w:sz w:val="24"/>
          <w:szCs w:val="24"/>
        </w:rPr>
        <w:t xml:space="preserve"> uma lesão inicial de cárie, por meio de alterações submicroscópicas </w:t>
      </w:r>
      <w:r w:rsidRPr="008642FA">
        <w:rPr>
          <w:rFonts w:ascii="Arial" w:hAnsi="Arial" w:cs="Arial"/>
          <w:color w:val="000000"/>
          <w:sz w:val="24"/>
          <w:szCs w:val="24"/>
        </w:rPr>
        <w:t>[3].</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 xml:space="preserve">O processo da cárie em esmalte, desde a perda mineral subclínica,  à mancha branca ativa e formação de cavidade, tem sido muito estudado e há uma concordância entre os autores de que as lesões de cárie restritas ao esmalte são passíveis de paralisação e remineralização, sob condições adequadas </w:t>
      </w:r>
      <w:r w:rsidRPr="008642FA">
        <w:rPr>
          <w:rFonts w:ascii="Arial" w:hAnsi="Arial" w:cs="Arial"/>
          <w:color w:val="000000"/>
          <w:sz w:val="24"/>
          <w:szCs w:val="24"/>
        </w:rPr>
        <w:t xml:space="preserve">[3-4-5-6]. </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 xml:space="preserve">Uma nova filosofia de tratamento </w:t>
      </w:r>
      <w:r w:rsidR="00896845" w:rsidRPr="008642FA">
        <w:rPr>
          <w:rFonts w:ascii="Arial" w:hAnsi="Arial" w:cs="Arial"/>
          <w:sz w:val="24"/>
          <w:szCs w:val="24"/>
        </w:rPr>
        <w:t xml:space="preserve">surgiu a fim de </w:t>
      </w:r>
      <w:r w:rsidRPr="008642FA">
        <w:rPr>
          <w:rFonts w:ascii="Arial" w:hAnsi="Arial" w:cs="Arial"/>
          <w:sz w:val="24"/>
          <w:szCs w:val="24"/>
        </w:rPr>
        <w:t xml:space="preserve">criar um ambiente favorável à paralisação da cárie, com mínima intervenção operatória </w:t>
      </w:r>
      <w:r w:rsidRPr="008642FA">
        <w:rPr>
          <w:rFonts w:ascii="Arial" w:hAnsi="Arial" w:cs="Arial"/>
          <w:color w:val="000000"/>
          <w:sz w:val="24"/>
          <w:szCs w:val="24"/>
        </w:rPr>
        <w:t>[7].</w:t>
      </w:r>
      <w:r w:rsidR="00896845" w:rsidRPr="008642FA">
        <w:rPr>
          <w:rFonts w:ascii="Arial" w:hAnsi="Arial" w:cs="Arial"/>
          <w:color w:val="000000"/>
          <w:sz w:val="24"/>
          <w:szCs w:val="24"/>
        </w:rPr>
        <w:t xml:space="preserve"> </w:t>
      </w:r>
      <w:r w:rsidRPr="008642FA">
        <w:rPr>
          <w:rFonts w:ascii="Arial" w:hAnsi="Arial" w:cs="Arial"/>
          <w:iCs/>
          <w:sz w:val="24"/>
          <w:szCs w:val="24"/>
        </w:rPr>
        <w:t xml:space="preserve">Além do enfoque biológico, que minimiza a intervenção dentária, o conforto para o paciente também passou a ser uma preocupação constante da Odontologia moderna </w:t>
      </w:r>
      <w:r w:rsidRPr="008642FA">
        <w:rPr>
          <w:rFonts w:ascii="Arial" w:hAnsi="Arial" w:cs="Arial"/>
          <w:iCs/>
          <w:color w:val="000000"/>
          <w:sz w:val="24"/>
          <w:szCs w:val="24"/>
        </w:rPr>
        <w:t>[8-9].</w:t>
      </w:r>
    </w:p>
    <w:p w:rsidR="00256E45" w:rsidRPr="008642FA" w:rsidRDefault="00F647E6" w:rsidP="00C77CF0">
      <w:pPr>
        <w:spacing w:after="0" w:line="480" w:lineRule="auto"/>
        <w:ind w:firstLine="708"/>
        <w:jc w:val="both"/>
        <w:rPr>
          <w:rFonts w:ascii="Arial" w:hAnsi="Arial" w:cs="Arial"/>
          <w:sz w:val="24"/>
          <w:szCs w:val="24"/>
        </w:rPr>
      </w:pPr>
      <w:r w:rsidRPr="008642FA">
        <w:rPr>
          <w:rFonts w:ascii="Arial" w:hAnsi="Arial" w:cs="Arial"/>
          <w:sz w:val="24"/>
          <w:szCs w:val="24"/>
        </w:rPr>
        <w:t>O Icon (DMG) foi introduzido no mercado como uma alternativa inovadora aos tratamentos de lesões iniciais de cárie, ou seja, limitadas ao esmalte, sem cavitação, intervindo em lesões que ultrapassaram o tratamento com terapias preventivas, porém que não necessitam de intervenção restauradora convencional utilizando pontas e brocas. Sendo assim, apresenta-se como um tratamento conservador, evita</w:t>
      </w:r>
      <w:r w:rsidR="004D4F62" w:rsidRPr="008642FA">
        <w:rPr>
          <w:rFonts w:ascii="Arial" w:hAnsi="Arial" w:cs="Arial"/>
          <w:sz w:val="24"/>
          <w:szCs w:val="24"/>
        </w:rPr>
        <w:t>ndo</w:t>
      </w:r>
      <w:r w:rsidRPr="008642FA">
        <w:rPr>
          <w:rFonts w:ascii="Arial" w:hAnsi="Arial" w:cs="Arial"/>
          <w:sz w:val="24"/>
          <w:szCs w:val="24"/>
        </w:rPr>
        <w:t xml:space="preserve"> a perda da estrutura dental, e dificulta</w:t>
      </w:r>
      <w:r w:rsidR="004D4F62" w:rsidRPr="008642FA">
        <w:rPr>
          <w:rFonts w:ascii="Arial" w:hAnsi="Arial" w:cs="Arial"/>
          <w:sz w:val="24"/>
          <w:szCs w:val="24"/>
        </w:rPr>
        <w:t>ndo</w:t>
      </w:r>
      <w:r w:rsidRPr="008642FA">
        <w:rPr>
          <w:rFonts w:ascii="Arial" w:hAnsi="Arial" w:cs="Arial"/>
          <w:sz w:val="24"/>
          <w:szCs w:val="24"/>
        </w:rPr>
        <w:t xml:space="preserve"> a transição da desmineralização inicial até a cavitação.  </w:t>
      </w:r>
      <w:r w:rsidR="004D4F62" w:rsidRPr="008642FA">
        <w:rPr>
          <w:rFonts w:ascii="Arial" w:hAnsi="Arial" w:cs="Arial"/>
          <w:sz w:val="24"/>
          <w:szCs w:val="24"/>
        </w:rPr>
        <w:t>A</w:t>
      </w:r>
      <w:r w:rsidRPr="008642FA">
        <w:rPr>
          <w:rFonts w:ascii="Arial" w:hAnsi="Arial" w:cs="Arial"/>
          <w:sz w:val="24"/>
          <w:szCs w:val="24"/>
        </w:rPr>
        <w:t>tua por uma tecnologia de microinfiltração, preenche</w:t>
      </w:r>
      <w:r w:rsidR="004D4F62" w:rsidRPr="008642FA">
        <w:rPr>
          <w:rFonts w:ascii="Arial" w:hAnsi="Arial" w:cs="Arial"/>
          <w:sz w:val="24"/>
          <w:szCs w:val="24"/>
        </w:rPr>
        <w:t>ndo</w:t>
      </w:r>
      <w:r w:rsidRPr="008642FA">
        <w:rPr>
          <w:rFonts w:ascii="Arial" w:hAnsi="Arial" w:cs="Arial"/>
          <w:sz w:val="24"/>
          <w:szCs w:val="24"/>
        </w:rPr>
        <w:t xml:space="preserve"> a estrutura desminer</w:t>
      </w:r>
      <w:r w:rsidR="004D4F62" w:rsidRPr="008642FA">
        <w:rPr>
          <w:rFonts w:ascii="Arial" w:hAnsi="Arial" w:cs="Arial"/>
          <w:sz w:val="24"/>
          <w:szCs w:val="24"/>
        </w:rPr>
        <w:t>alizada, impedindo</w:t>
      </w:r>
      <w:r w:rsidRPr="008642FA">
        <w:rPr>
          <w:rFonts w:ascii="Arial" w:hAnsi="Arial" w:cs="Arial"/>
          <w:sz w:val="24"/>
          <w:szCs w:val="24"/>
        </w:rPr>
        <w:t xml:space="preserve"> a progressão da lesão e reforça</w:t>
      </w:r>
      <w:r w:rsidR="004D4F62" w:rsidRPr="008642FA">
        <w:rPr>
          <w:rFonts w:ascii="Arial" w:hAnsi="Arial" w:cs="Arial"/>
          <w:sz w:val="24"/>
          <w:szCs w:val="24"/>
        </w:rPr>
        <w:t>ndo</w:t>
      </w:r>
      <w:r w:rsidRPr="008642FA">
        <w:rPr>
          <w:rFonts w:ascii="Arial" w:hAnsi="Arial" w:cs="Arial"/>
          <w:sz w:val="24"/>
          <w:szCs w:val="24"/>
        </w:rPr>
        <w:t xml:space="preserve"> a estrutura mineral, devolvendo as características do esmalte adjacente circundante. Pode ser utilizado em lesões não cavitadas, tanto em faces lisas como em regiões interproximais.</w:t>
      </w:r>
    </w:p>
    <w:p w:rsidR="00256E45" w:rsidRPr="008642FA" w:rsidRDefault="00F647E6" w:rsidP="00C77CF0">
      <w:pPr>
        <w:pStyle w:val="SemEspaamento"/>
        <w:spacing w:line="480" w:lineRule="auto"/>
        <w:ind w:firstLine="720"/>
        <w:jc w:val="both"/>
        <w:rPr>
          <w:rFonts w:ascii="Arial" w:hAnsi="Arial" w:cs="Arial"/>
          <w:sz w:val="24"/>
          <w:szCs w:val="24"/>
        </w:rPr>
      </w:pPr>
      <w:r w:rsidRPr="008642FA">
        <w:rPr>
          <w:rFonts w:ascii="Arial" w:hAnsi="Arial" w:cs="Arial"/>
          <w:sz w:val="24"/>
          <w:szCs w:val="24"/>
        </w:rPr>
        <w:t xml:space="preserve">Devido à possibilidade de uma região do esmalte que tenha sido infiltrada com o Icon necessitar de um procedimento adesivo, como por exemplo, a colagem de </w:t>
      </w:r>
      <w:r w:rsidRPr="008642FA">
        <w:rPr>
          <w:rFonts w:ascii="Arial" w:hAnsi="Arial" w:cs="Arial"/>
          <w:i/>
          <w:sz w:val="24"/>
          <w:szCs w:val="24"/>
        </w:rPr>
        <w:t>brackets</w:t>
      </w:r>
      <w:r w:rsidRPr="008642FA">
        <w:rPr>
          <w:rFonts w:ascii="Arial" w:hAnsi="Arial" w:cs="Arial"/>
          <w:sz w:val="24"/>
          <w:szCs w:val="24"/>
        </w:rPr>
        <w:t xml:space="preserve"> ortodônticos, a necessidade de procedimentos restauradores conservadores, ou </w:t>
      </w:r>
      <w:r w:rsidR="0018377A" w:rsidRPr="008642FA">
        <w:rPr>
          <w:rFonts w:ascii="Arial" w:hAnsi="Arial" w:cs="Arial"/>
          <w:sz w:val="24"/>
          <w:szCs w:val="24"/>
        </w:rPr>
        <w:t xml:space="preserve">restaurações devido a </w:t>
      </w:r>
      <w:r w:rsidRPr="008642FA">
        <w:rPr>
          <w:rFonts w:ascii="Arial" w:hAnsi="Arial" w:cs="Arial"/>
          <w:sz w:val="24"/>
          <w:szCs w:val="24"/>
        </w:rPr>
        <w:t xml:space="preserve"> fraturas dentais, uma vez que o material infiltrado no esmalte não </w:t>
      </w:r>
      <w:r w:rsidRPr="008642FA">
        <w:rPr>
          <w:rFonts w:ascii="Arial" w:hAnsi="Arial" w:cs="Arial"/>
          <w:sz w:val="24"/>
          <w:szCs w:val="24"/>
        </w:rPr>
        <w:lastRenderedPageBreak/>
        <w:t xml:space="preserve">será removido, existe o questionamento quanto à adesividade da superfície que fora tratada, e quanto à compatibilidade deste material com sistemas adesivos atuais </w:t>
      </w:r>
      <w:r w:rsidRPr="008642FA">
        <w:rPr>
          <w:rFonts w:ascii="Arial" w:hAnsi="Arial" w:cs="Arial"/>
          <w:color w:val="000000"/>
          <w:sz w:val="24"/>
          <w:szCs w:val="24"/>
        </w:rPr>
        <w:t>[10-11].</w:t>
      </w:r>
    </w:p>
    <w:p w:rsidR="004D4F62"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 xml:space="preserve">Diante dessa dúvida, avaliou-se a resistência de união de </w:t>
      </w:r>
      <w:r w:rsidR="004D4F62" w:rsidRPr="008642FA">
        <w:rPr>
          <w:rFonts w:ascii="Arial" w:hAnsi="Arial" w:cs="Arial"/>
          <w:sz w:val="24"/>
          <w:szCs w:val="24"/>
        </w:rPr>
        <w:t>uma resina composta utilizando-se dois tipos de adesivos a diferentes substratos de esmalte: hígido ou desmineralizado</w:t>
      </w:r>
      <w:r w:rsidR="008B1626" w:rsidRPr="008642FA">
        <w:rPr>
          <w:rFonts w:ascii="Arial" w:hAnsi="Arial" w:cs="Arial"/>
          <w:sz w:val="24"/>
          <w:szCs w:val="24"/>
        </w:rPr>
        <w:t>, submetido</w:t>
      </w:r>
      <w:r w:rsidR="004D4F62" w:rsidRPr="008642FA">
        <w:rPr>
          <w:rFonts w:ascii="Arial" w:hAnsi="Arial" w:cs="Arial"/>
          <w:sz w:val="24"/>
          <w:szCs w:val="24"/>
        </w:rPr>
        <w:t xml:space="preserve"> ou não a remineralização</w:t>
      </w:r>
      <w:r w:rsidR="008B1626" w:rsidRPr="008642FA">
        <w:rPr>
          <w:rFonts w:ascii="Arial" w:hAnsi="Arial" w:cs="Arial"/>
          <w:sz w:val="24"/>
          <w:szCs w:val="24"/>
        </w:rPr>
        <w:t>,</w:t>
      </w:r>
      <w:r w:rsidR="004D4F62" w:rsidRPr="008642FA">
        <w:rPr>
          <w:rFonts w:ascii="Arial" w:hAnsi="Arial" w:cs="Arial"/>
          <w:sz w:val="24"/>
          <w:szCs w:val="24"/>
        </w:rPr>
        <w:t xml:space="preserve"> ou ainda</w:t>
      </w:r>
      <w:r w:rsidR="000577E9">
        <w:rPr>
          <w:rFonts w:ascii="Arial" w:hAnsi="Arial" w:cs="Arial"/>
          <w:sz w:val="24"/>
          <w:szCs w:val="24"/>
        </w:rPr>
        <w:t>,</w:t>
      </w:r>
      <w:r w:rsidR="008B1626" w:rsidRPr="008642FA">
        <w:rPr>
          <w:rFonts w:ascii="Arial" w:hAnsi="Arial" w:cs="Arial"/>
          <w:sz w:val="24"/>
          <w:szCs w:val="24"/>
        </w:rPr>
        <w:t xml:space="preserve"> infiltrado com Icon</w:t>
      </w:r>
      <w:r w:rsidR="004D4F62" w:rsidRPr="008642FA">
        <w:rPr>
          <w:rFonts w:ascii="Arial" w:hAnsi="Arial" w:cs="Arial"/>
          <w:sz w:val="24"/>
          <w:szCs w:val="24"/>
        </w:rPr>
        <w:t>.</w:t>
      </w:r>
    </w:p>
    <w:p w:rsidR="00C77CF0" w:rsidRDefault="00C77CF0" w:rsidP="00C77CF0">
      <w:pPr>
        <w:pStyle w:val="NormalVerdana"/>
        <w:spacing w:line="480" w:lineRule="auto"/>
        <w:ind w:firstLine="720"/>
        <w:jc w:val="both"/>
        <w:rPr>
          <w:rFonts w:ascii="Arial" w:hAnsi="Arial" w:cs="Arial"/>
          <w:b/>
        </w:rPr>
      </w:pPr>
    </w:p>
    <w:p w:rsidR="00256E45" w:rsidRPr="008642FA" w:rsidRDefault="00F647E6" w:rsidP="00C77CF0">
      <w:pPr>
        <w:pStyle w:val="NormalVerdana"/>
        <w:spacing w:line="480" w:lineRule="auto"/>
        <w:jc w:val="both"/>
        <w:rPr>
          <w:rFonts w:ascii="Arial" w:hAnsi="Arial" w:cs="Arial"/>
          <w:b/>
        </w:rPr>
      </w:pPr>
      <w:r w:rsidRPr="008642FA">
        <w:rPr>
          <w:rFonts w:ascii="Arial" w:hAnsi="Arial" w:cs="Arial"/>
          <w:b/>
        </w:rPr>
        <w:t>MATERIAL E MÉTODOS</w:t>
      </w:r>
    </w:p>
    <w:p w:rsidR="00256E45" w:rsidRPr="008642FA" w:rsidRDefault="00F647E6" w:rsidP="00C77CF0">
      <w:pPr>
        <w:spacing w:line="480" w:lineRule="auto"/>
        <w:jc w:val="both"/>
        <w:rPr>
          <w:rFonts w:ascii="Arial" w:hAnsi="Arial" w:cs="Arial"/>
          <w:sz w:val="24"/>
          <w:szCs w:val="24"/>
        </w:rPr>
      </w:pPr>
      <w:r w:rsidRPr="008642FA">
        <w:rPr>
          <w:rFonts w:ascii="Arial" w:hAnsi="Arial" w:cs="Arial"/>
          <w:b/>
          <w:sz w:val="24"/>
          <w:szCs w:val="24"/>
        </w:rPr>
        <w:t>Confecção dos corpos de prova</w:t>
      </w:r>
    </w:p>
    <w:p w:rsidR="00256E45" w:rsidRPr="008642FA" w:rsidRDefault="00F647E6" w:rsidP="00C77CF0">
      <w:pPr>
        <w:widowControl w:val="0"/>
        <w:spacing w:line="480" w:lineRule="auto"/>
        <w:jc w:val="both"/>
        <w:rPr>
          <w:rFonts w:ascii="Arial" w:hAnsi="Arial" w:cs="Arial"/>
          <w:sz w:val="24"/>
          <w:szCs w:val="24"/>
        </w:rPr>
      </w:pPr>
      <w:r w:rsidRPr="008642FA">
        <w:rPr>
          <w:rFonts w:ascii="Arial" w:hAnsi="Arial" w:cs="Arial"/>
          <w:sz w:val="24"/>
          <w:szCs w:val="24"/>
          <w:lang w:eastAsia="pt-BR"/>
        </w:rPr>
        <w:tab/>
        <w:t xml:space="preserve">Foram utilizados 120 incisivos bovinos recém-extraídos e limpos, estocados em solução fisiológica de timol 0,1% em freezer a – 18°C </w:t>
      </w:r>
      <w:r w:rsidRPr="008642FA">
        <w:rPr>
          <w:rFonts w:ascii="Arial" w:hAnsi="Arial" w:cs="Arial"/>
          <w:color w:val="000000"/>
          <w:sz w:val="24"/>
          <w:szCs w:val="24"/>
          <w:lang w:eastAsia="pt-BR"/>
        </w:rPr>
        <w:t>[12]</w:t>
      </w:r>
      <w:r w:rsidRPr="008642FA">
        <w:rPr>
          <w:rFonts w:ascii="Arial" w:hAnsi="Arial" w:cs="Arial"/>
          <w:sz w:val="24"/>
          <w:szCs w:val="24"/>
          <w:lang w:eastAsia="pt-BR"/>
        </w:rPr>
        <w:t>, não ultrapass</w:t>
      </w:r>
      <w:r w:rsidR="00B42611" w:rsidRPr="008642FA">
        <w:rPr>
          <w:rFonts w:ascii="Arial" w:hAnsi="Arial" w:cs="Arial"/>
          <w:sz w:val="24"/>
          <w:szCs w:val="24"/>
          <w:lang w:eastAsia="pt-BR"/>
        </w:rPr>
        <w:t>ando</w:t>
      </w:r>
      <w:r w:rsidRPr="008642FA">
        <w:rPr>
          <w:rFonts w:ascii="Arial" w:hAnsi="Arial" w:cs="Arial"/>
          <w:sz w:val="24"/>
          <w:szCs w:val="24"/>
          <w:lang w:eastAsia="pt-BR"/>
        </w:rPr>
        <w:t xml:space="preserve"> 28 dias</w:t>
      </w:r>
      <w:r w:rsidR="00B42611" w:rsidRPr="008642FA">
        <w:rPr>
          <w:rFonts w:ascii="Arial" w:hAnsi="Arial" w:cs="Arial"/>
          <w:sz w:val="24"/>
          <w:szCs w:val="24"/>
          <w:lang w:eastAsia="pt-BR"/>
        </w:rPr>
        <w:t xml:space="preserve"> de armazenagem</w:t>
      </w:r>
      <w:r w:rsidRPr="008642FA">
        <w:rPr>
          <w:rFonts w:ascii="Arial" w:hAnsi="Arial" w:cs="Arial"/>
          <w:sz w:val="24"/>
          <w:szCs w:val="24"/>
          <w:lang w:eastAsia="pt-BR"/>
        </w:rPr>
        <w:t xml:space="preserve"> </w:t>
      </w:r>
      <w:r w:rsidRPr="008642FA">
        <w:rPr>
          <w:rFonts w:ascii="Arial" w:hAnsi="Arial" w:cs="Arial"/>
          <w:color w:val="000000"/>
          <w:sz w:val="24"/>
          <w:szCs w:val="24"/>
          <w:lang w:eastAsia="pt-BR"/>
        </w:rPr>
        <w:t>[13].</w:t>
      </w:r>
      <w:r w:rsidRPr="008642FA">
        <w:rPr>
          <w:rFonts w:ascii="Arial" w:hAnsi="Arial" w:cs="Arial"/>
          <w:sz w:val="24"/>
          <w:szCs w:val="24"/>
          <w:lang w:eastAsia="pt-BR"/>
        </w:rPr>
        <w:t xml:space="preserve"> As raízes foram removidas por meio de uma secção perpendicular ao longo eixo, 2,0 mm além da junção amelocementária, com disco diamantado (Dremel, Breda, Holanda) montado em mandril, em torno de alta rotação (Nevoni, São Paulo, SP, Brasil). Somente as coroas foram utilizadas.</w:t>
      </w:r>
      <w:r w:rsidRPr="008642FA">
        <w:rPr>
          <w:rFonts w:ascii="Arial" w:hAnsi="Arial" w:cs="Arial"/>
          <w:sz w:val="24"/>
          <w:szCs w:val="24"/>
        </w:rPr>
        <w:t xml:space="preserve"> A superfície do esmalte dos espécimes foi aplainada utilizando-se discos de lixas d'água de granulações 400 e 600, em politriz (DP-10, Panambra, São Paulo-SP, Brasil), em presença de água, mantendo-se uma pressão uniforme e constante, para a obtenção de uma superfície lisa e plana de aproximadamente 5 X 5 mm (Figura 1).</w:t>
      </w:r>
    </w:p>
    <w:p w:rsidR="0078515E" w:rsidRPr="008642FA" w:rsidRDefault="00B42611" w:rsidP="00C77CF0">
      <w:pPr>
        <w:widowControl w:val="0"/>
        <w:spacing w:line="480" w:lineRule="auto"/>
        <w:jc w:val="both"/>
        <w:rPr>
          <w:rFonts w:ascii="Arial" w:hAnsi="Arial" w:cs="Arial"/>
          <w:sz w:val="24"/>
          <w:szCs w:val="24"/>
          <w:lang w:eastAsia="pt-BR"/>
        </w:rPr>
      </w:pPr>
      <w:r w:rsidRPr="008642FA">
        <w:rPr>
          <w:rFonts w:ascii="Arial" w:hAnsi="Arial" w:cs="Arial"/>
          <w:sz w:val="24"/>
          <w:szCs w:val="24"/>
          <w:lang w:eastAsia="pt-BR"/>
        </w:rPr>
        <w:tab/>
        <w:t xml:space="preserve">Após, </w:t>
      </w:r>
      <w:r w:rsidR="00F647E6" w:rsidRPr="008642FA">
        <w:rPr>
          <w:rFonts w:ascii="Arial" w:hAnsi="Arial" w:cs="Arial"/>
          <w:sz w:val="24"/>
          <w:szCs w:val="24"/>
          <w:lang w:eastAsia="pt-BR"/>
        </w:rPr>
        <w:t xml:space="preserve">os dentes preparados foram posicionados em uma matriz de silicone industrial – Rodhorsil (Clássico, São Paulo, SP, Brasil) com medidas internas de 2 cm de diâmetro e 1,5 cm de altura com a face vestibular desgastada apoiada na sua base. A seguir, resina acrílica incolor autopolimerizável (Jet-Artigos Odontológicos, Clássico, São Paulo, SP, Brasil) foi vertida na fase fluida até o completo preenchimento da matriz e o conjunto foi imerso em água gelada até a completa polimerização (Figura 1). </w:t>
      </w:r>
      <w:r w:rsidRPr="008642FA">
        <w:rPr>
          <w:rFonts w:ascii="Arial" w:hAnsi="Arial" w:cs="Arial"/>
          <w:sz w:val="24"/>
          <w:szCs w:val="24"/>
          <w:lang w:eastAsia="pt-BR"/>
        </w:rPr>
        <w:t>O</w:t>
      </w:r>
      <w:r w:rsidR="00F647E6" w:rsidRPr="008642FA">
        <w:rPr>
          <w:rFonts w:ascii="Arial" w:hAnsi="Arial" w:cs="Arial"/>
          <w:sz w:val="24"/>
          <w:szCs w:val="24"/>
          <w:lang w:eastAsia="pt-BR"/>
        </w:rPr>
        <w:t>s dentes embutidos em resina acr</w:t>
      </w:r>
      <w:r w:rsidRPr="008642FA">
        <w:rPr>
          <w:rFonts w:ascii="Arial" w:hAnsi="Arial" w:cs="Arial"/>
          <w:sz w:val="24"/>
          <w:szCs w:val="24"/>
          <w:lang w:eastAsia="pt-BR"/>
        </w:rPr>
        <w:t>ílica foram removidos da matriz</w:t>
      </w:r>
      <w:r w:rsidR="00F647E6" w:rsidRPr="008642FA">
        <w:rPr>
          <w:rFonts w:ascii="Arial" w:hAnsi="Arial" w:cs="Arial"/>
          <w:sz w:val="24"/>
          <w:szCs w:val="24"/>
          <w:lang w:eastAsia="pt-BR"/>
        </w:rPr>
        <w:t xml:space="preserve"> e lixados </w:t>
      </w:r>
      <w:r w:rsidRPr="008642FA">
        <w:rPr>
          <w:rFonts w:ascii="Arial" w:hAnsi="Arial" w:cs="Arial"/>
          <w:sz w:val="24"/>
          <w:szCs w:val="24"/>
          <w:lang w:eastAsia="pt-BR"/>
        </w:rPr>
        <w:t>por 30 s (</w:t>
      </w:r>
      <w:r w:rsidR="00F647E6" w:rsidRPr="008642FA">
        <w:rPr>
          <w:rFonts w:ascii="Arial" w:hAnsi="Arial" w:cs="Arial"/>
          <w:sz w:val="24"/>
          <w:szCs w:val="24"/>
          <w:lang w:eastAsia="pt-BR"/>
        </w:rPr>
        <w:t>lixa d'água de granulação 600</w:t>
      </w:r>
      <w:r w:rsidRPr="008642FA">
        <w:rPr>
          <w:rFonts w:ascii="Arial" w:hAnsi="Arial" w:cs="Arial"/>
          <w:sz w:val="24"/>
          <w:szCs w:val="24"/>
          <w:lang w:eastAsia="pt-BR"/>
        </w:rPr>
        <w:t>)</w:t>
      </w:r>
      <w:r w:rsidR="00F647E6" w:rsidRPr="008642FA">
        <w:rPr>
          <w:rFonts w:ascii="Arial" w:hAnsi="Arial" w:cs="Arial"/>
          <w:sz w:val="24"/>
          <w:szCs w:val="24"/>
          <w:lang w:eastAsia="pt-BR"/>
        </w:rPr>
        <w:t xml:space="preserve">, em politriz circular sob refrigeração abundante de água, para a </w:t>
      </w:r>
      <w:r w:rsidR="00F647E6" w:rsidRPr="008642FA">
        <w:rPr>
          <w:rFonts w:ascii="Arial" w:hAnsi="Arial" w:cs="Arial"/>
          <w:sz w:val="24"/>
          <w:szCs w:val="24"/>
          <w:lang w:eastAsia="pt-BR"/>
        </w:rPr>
        <w:lastRenderedPageBreak/>
        <w:t xml:space="preserve">padronização da formação da </w:t>
      </w:r>
      <w:r w:rsidR="00F647E6" w:rsidRPr="008642FA">
        <w:rPr>
          <w:rFonts w:ascii="Arial" w:hAnsi="Arial" w:cs="Arial"/>
          <w:i/>
          <w:sz w:val="24"/>
          <w:szCs w:val="24"/>
          <w:lang w:eastAsia="pt-BR"/>
        </w:rPr>
        <w:t>smear layer</w:t>
      </w:r>
      <w:r w:rsidR="00F647E6" w:rsidRPr="008642FA">
        <w:rPr>
          <w:rFonts w:ascii="Arial" w:hAnsi="Arial" w:cs="Arial"/>
          <w:sz w:val="24"/>
          <w:szCs w:val="24"/>
          <w:lang w:eastAsia="pt-BR"/>
        </w:rPr>
        <w:t>.</w:t>
      </w:r>
    </w:p>
    <w:p w:rsidR="00256E45" w:rsidRDefault="00F647E6" w:rsidP="00C77CF0">
      <w:pPr>
        <w:widowControl w:val="0"/>
        <w:spacing w:line="240" w:lineRule="auto"/>
        <w:jc w:val="both"/>
        <w:rPr>
          <w:rFonts w:ascii="Arial" w:hAnsi="Arial" w:cs="Arial"/>
          <w:sz w:val="24"/>
          <w:szCs w:val="24"/>
          <w:lang w:eastAsia="pt-BR"/>
        </w:rPr>
      </w:pPr>
      <w:r w:rsidRPr="008642FA">
        <w:rPr>
          <w:rFonts w:ascii="Arial" w:hAnsi="Arial" w:cs="Arial"/>
          <w:b/>
          <w:sz w:val="24"/>
          <w:szCs w:val="24"/>
          <w:lang w:eastAsia="pt-BR"/>
        </w:rPr>
        <w:t>Figura 1:</w:t>
      </w:r>
      <w:r w:rsidRPr="008642FA">
        <w:rPr>
          <w:rFonts w:ascii="Arial" w:hAnsi="Arial" w:cs="Arial"/>
          <w:sz w:val="24"/>
          <w:szCs w:val="24"/>
          <w:lang w:eastAsia="pt-BR"/>
        </w:rPr>
        <w:t xml:space="preserve"> Figura representando o preparo dos espécimes. A) Dente bovino; B) Coroa do dente bovino; C) Desgaste da superfície do esmalte em politriz; D) Posicionamento da coroa em matriz de silicone com a face vestibular apoiada na base; E) Inclusão em resina acrílica; F) Vista lateral dos dentes incluídos.</w:t>
      </w:r>
    </w:p>
    <w:p w:rsidR="00256E45" w:rsidRPr="008642FA" w:rsidRDefault="00F647E6" w:rsidP="00C77CF0">
      <w:pPr>
        <w:widowControl w:val="0"/>
        <w:spacing w:line="480" w:lineRule="auto"/>
        <w:jc w:val="both"/>
        <w:rPr>
          <w:rFonts w:ascii="Arial" w:hAnsi="Arial" w:cs="Arial"/>
          <w:sz w:val="24"/>
          <w:szCs w:val="24"/>
          <w:lang w:eastAsia="pt-BR"/>
        </w:rPr>
      </w:pPr>
      <w:r w:rsidRPr="008642FA">
        <w:rPr>
          <w:rFonts w:ascii="Arial" w:hAnsi="Arial" w:cs="Arial"/>
          <w:b/>
          <w:sz w:val="24"/>
          <w:szCs w:val="24"/>
        </w:rPr>
        <w:t>Adequação dos grupos</w:t>
      </w:r>
    </w:p>
    <w:p w:rsidR="00256E45" w:rsidRPr="008642FA" w:rsidRDefault="00B42611" w:rsidP="00C77CF0">
      <w:pPr>
        <w:spacing w:line="480" w:lineRule="auto"/>
        <w:ind w:firstLine="708"/>
        <w:jc w:val="both"/>
        <w:rPr>
          <w:rFonts w:ascii="Arial" w:hAnsi="Arial" w:cs="Arial"/>
          <w:sz w:val="24"/>
          <w:szCs w:val="24"/>
        </w:rPr>
      </w:pPr>
      <w:r w:rsidRPr="008642FA">
        <w:rPr>
          <w:rFonts w:ascii="Arial" w:hAnsi="Arial" w:cs="Arial"/>
          <w:sz w:val="24"/>
          <w:szCs w:val="24"/>
        </w:rPr>
        <w:t xml:space="preserve">Os espécimes (n=120) </w:t>
      </w:r>
      <w:r w:rsidR="00F647E6" w:rsidRPr="008642FA">
        <w:rPr>
          <w:rFonts w:ascii="Arial" w:hAnsi="Arial" w:cs="Arial"/>
          <w:sz w:val="24"/>
          <w:szCs w:val="24"/>
        </w:rPr>
        <w:t xml:space="preserve">foram divididos aleatoriamente em dois grupos: Grupo Sistema Adesivo Convencional: Adper Single Bond Universal (SAC) e Grupo Sistema Adesivo Autocondicionante: EasyClearfil S3 (SAA). </w:t>
      </w:r>
    </w:p>
    <w:p w:rsidR="00256E45" w:rsidRPr="008642FA" w:rsidRDefault="00F647E6" w:rsidP="00C77CF0">
      <w:pPr>
        <w:spacing w:line="480" w:lineRule="auto"/>
        <w:ind w:firstLine="708"/>
        <w:jc w:val="both"/>
        <w:rPr>
          <w:rFonts w:ascii="Arial" w:hAnsi="Arial" w:cs="Arial"/>
          <w:sz w:val="24"/>
          <w:szCs w:val="24"/>
        </w:rPr>
      </w:pPr>
      <w:r w:rsidRPr="008642FA">
        <w:rPr>
          <w:rFonts w:ascii="Arial" w:hAnsi="Arial" w:cs="Arial"/>
          <w:sz w:val="24"/>
          <w:szCs w:val="24"/>
        </w:rPr>
        <w:t>Esses grupos foram subdivididos em cinco, de acordo com o substrato utilizado:</w:t>
      </w:r>
    </w:p>
    <w:p w:rsidR="00256E45" w:rsidRPr="008642FA" w:rsidRDefault="00F647E6" w:rsidP="00C77CF0">
      <w:pPr>
        <w:pStyle w:val="PargrafodaLista"/>
        <w:numPr>
          <w:ilvl w:val="0"/>
          <w:numId w:val="1"/>
        </w:numPr>
        <w:spacing w:after="0" w:line="480" w:lineRule="auto"/>
        <w:ind w:left="426"/>
        <w:jc w:val="both"/>
        <w:rPr>
          <w:rFonts w:ascii="Arial" w:hAnsi="Arial" w:cs="Arial"/>
          <w:sz w:val="24"/>
          <w:szCs w:val="24"/>
        </w:rPr>
      </w:pPr>
      <w:r w:rsidRPr="008642FA">
        <w:rPr>
          <w:rFonts w:ascii="Arial" w:hAnsi="Arial" w:cs="Arial"/>
          <w:sz w:val="24"/>
          <w:szCs w:val="24"/>
        </w:rPr>
        <w:t xml:space="preserve">Grupo A (n=24): Esmalte hígido (grupo controle) não recebeu nenhum tratamento, apenas os procedimentos adesivos para o teste de microtração. </w:t>
      </w:r>
    </w:p>
    <w:p w:rsidR="0078515E" w:rsidRPr="008642FA" w:rsidRDefault="00F647E6" w:rsidP="00C77CF0">
      <w:pPr>
        <w:pStyle w:val="EndNoteBibliography"/>
        <w:spacing w:after="0" w:line="480" w:lineRule="auto"/>
        <w:jc w:val="both"/>
        <w:rPr>
          <w:rFonts w:ascii="Arial" w:hAnsi="Arial" w:cs="Arial"/>
          <w:sz w:val="24"/>
          <w:szCs w:val="24"/>
          <w:lang w:val="pt-BR"/>
        </w:rPr>
      </w:pPr>
      <w:r w:rsidRPr="008642FA">
        <w:rPr>
          <w:rFonts w:ascii="Arial" w:hAnsi="Arial" w:cs="Arial"/>
          <w:sz w:val="24"/>
          <w:szCs w:val="24"/>
          <w:lang w:val="pt-BR"/>
        </w:rPr>
        <w:tab/>
      </w:r>
      <w:r w:rsidRPr="008642FA">
        <w:rPr>
          <w:rFonts w:ascii="Arial" w:hAnsi="Arial" w:cs="Arial"/>
          <w:sz w:val="24"/>
          <w:szCs w:val="24"/>
          <w:lang w:val="pt-BR"/>
        </w:rPr>
        <w:tab/>
        <w:t xml:space="preserve">Os grupos descritos a seguir foram submetidos ao tratamento para desmineralização e formação de lesão de cárie superficial, sendo imersos em solução desmineralizante </w:t>
      </w:r>
      <w:r w:rsidRPr="008642FA">
        <w:rPr>
          <w:rFonts w:ascii="Arial" w:hAnsi="Arial" w:cs="Arial"/>
          <w:color w:val="000000"/>
          <w:sz w:val="24"/>
          <w:szCs w:val="24"/>
          <w:lang w:val="pt-BR"/>
        </w:rPr>
        <w:t>[14]</w:t>
      </w:r>
      <w:r w:rsidRPr="008642FA">
        <w:rPr>
          <w:rFonts w:ascii="Arial" w:hAnsi="Arial" w:cs="Arial"/>
          <w:sz w:val="24"/>
          <w:szCs w:val="24"/>
          <w:lang w:val="pt-BR"/>
        </w:rPr>
        <w:t>, a qual continha 3mM CaCl</w:t>
      </w:r>
      <w:r w:rsidRPr="008642FA">
        <w:rPr>
          <w:rFonts w:ascii="Arial" w:hAnsi="Arial" w:cs="Arial"/>
          <w:sz w:val="24"/>
          <w:szCs w:val="24"/>
          <w:vertAlign w:val="subscript"/>
          <w:lang w:val="pt-BR"/>
        </w:rPr>
        <w:t>2</w:t>
      </w:r>
      <w:r w:rsidRPr="008642FA">
        <w:rPr>
          <w:rFonts w:ascii="Arial" w:hAnsi="Arial" w:cs="Arial"/>
          <w:sz w:val="24"/>
          <w:szCs w:val="24"/>
          <w:lang w:val="pt-BR"/>
        </w:rPr>
        <w:t xml:space="preserve"> ● 2H</w:t>
      </w:r>
      <w:r w:rsidRPr="008642FA">
        <w:rPr>
          <w:rFonts w:ascii="Arial" w:hAnsi="Arial" w:cs="Arial"/>
          <w:sz w:val="24"/>
          <w:szCs w:val="24"/>
          <w:vertAlign w:val="subscript"/>
          <w:lang w:val="pt-BR"/>
        </w:rPr>
        <w:t>2</w:t>
      </w:r>
      <w:r w:rsidRPr="008642FA">
        <w:rPr>
          <w:rFonts w:ascii="Arial" w:hAnsi="Arial" w:cs="Arial"/>
          <w:sz w:val="24"/>
          <w:szCs w:val="24"/>
          <w:lang w:val="pt-BR"/>
        </w:rPr>
        <w:t>O, 3mM KH</w:t>
      </w:r>
      <w:r w:rsidRPr="008642FA">
        <w:rPr>
          <w:rFonts w:ascii="Arial" w:hAnsi="Arial" w:cs="Arial"/>
          <w:sz w:val="24"/>
          <w:szCs w:val="24"/>
          <w:vertAlign w:val="subscript"/>
          <w:lang w:val="pt-BR"/>
        </w:rPr>
        <w:t>2</w:t>
      </w:r>
      <w:r w:rsidRPr="008642FA">
        <w:rPr>
          <w:rFonts w:ascii="Arial" w:hAnsi="Arial" w:cs="Arial"/>
          <w:sz w:val="24"/>
          <w:szCs w:val="24"/>
          <w:lang w:val="pt-BR"/>
        </w:rPr>
        <w:t>PO</w:t>
      </w:r>
      <w:r w:rsidRPr="008642FA">
        <w:rPr>
          <w:rFonts w:ascii="Arial" w:hAnsi="Arial" w:cs="Arial"/>
          <w:sz w:val="24"/>
          <w:szCs w:val="24"/>
          <w:vertAlign w:val="subscript"/>
          <w:lang w:val="pt-BR"/>
        </w:rPr>
        <w:t>4</w:t>
      </w:r>
      <w:r w:rsidRPr="008642FA">
        <w:rPr>
          <w:rFonts w:ascii="Arial" w:hAnsi="Arial" w:cs="Arial"/>
          <w:sz w:val="24"/>
          <w:szCs w:val="24"/>
          <w:lang w:val="pt-BR"/>
        </w:rPr>
        <w:t xml:space="preserve"> e 50mM CH</w:t>
      </w:r>
      <w:r w:rsidRPr="008642FA">
        <w:rPr>
          <w:rFonts w:ascii="Arial" w:hAnsi="Arial" w:cs="Arial"/>
          <w:sz w:val="24"/>
          <w:szCs w:val="24"/>
          <w:vertAlign w:val="subscript"/>
          <w:lang w:val="pt-BR"/>
        </w:rPr>
        <w:t>3</w:t>
      </w:r>
      <w:r w:rsidRPr="008642FA">
        <w:rPr>
          <w:rFonts w:ascii="Arial" w:hAnsi="Arial" w:cs="Arial"/>
          <w:sz w:val="24"/>
          <w:szCs w:val="24"/>
          <w:lang w:val="pt-BR"/>
        </w:rPr>
        <w:t xml:space="preserve">COOH (pH 5,0). As amostras foram imersas </w:t>
      </w:r>
      <w:r w:rsidR="00B42611" w:rsidRPr="008642FA">
        <w:rPr>
          <w:rFonts w:ascii="Arial" w:hAnsi="Arial" w:cs="Arial"/>
          <w:sz w:val="24"/>
          <w:szCs w:val="24"/>
          <w:lang w:val="pt-BR"/>
        </w:rPr>
        <w:t>separadamente na solução a 37 °</w:t>
      </w:r>
      <w:r w:rsidRPr="008642FA">
        <w:rPr>
          <w:rFonts w:ascii="Arial" w:hAnsi="Arial" w:cs="Arial"/>
          <w:sz w:val="24"/>
          <w:szCs w:val="24"/>
          <w:lang w:val="pt-BR"/>
        </w:rPr>
        <w:t>C durante 7 dias, sendo que esta solução foi renovada a cada dia, para manter o pH constante. O volume total de solução utilizada foi calculada utilizando-se 2 ml / mm</w:t>
      </w:r>
      <w:r w:rsidRPr="008642FA">
        <w:rPr>
          <w:rFonts w:ascii="Arial" w:hAnsi="Arial" w:cs="Arial"/>
          <w:sz w:val="24"/>
          <w:szCs w:val="24"/>
          <w:vertAlign w:val="superscript"/>
          <w:lang w:val="pt-BR"/>
        </w:rPr>
        <w:t>2</w:t>
      </w:r>
      <w:r w:rsidRPr="008642FA">
        <w:rPr>
          <w:rFonts w:ascii="Arial" w:hAnsi="Arial" w:cs="Arial"/>
          <w:sz w:val="24"/>
          <w:szCs w:val="24"/>
          <w:lang w:val="pt-BR"/>
        </w:rPr>
        <w:t xml:space="preserve"> de área do esmalte e imerso dentro da solução de ácido, sobre um agitador multifuncional Kline a uma velocidade média de 120 rpm, evitando a saturação de ácido de cálcio em contato com a amostra, o qual reduziria sua atividade.</w:t>
      </w:r>
    </w:p>
    <w:p w:rsidR="00256E45" w:rsidRPr="008642FA" w:rsidRDefault="00F647E6" w:rsidP="00C77CF0">
      <w:pPr>
        <w:pStyle w:val="PargrafodaLista"/>
        <w:numPr>
          <w:ilvl w:val="0"/>
          <w:numId w:val="1"/>
        </w:numPr>
        <w:spacing w:after="0" w:line="480" w:lineRule="auto"/>
        <w:ind w:left="426"/>
        <w:jc w:val="both"/>
        <w:rPr>
          <w:rFonts w:ascii="Arial" w:hAnsi="Arial" w:cs="Arial"/>
          <w:sz w:val="24"/>
          <w:szCs w:val="24"/>
        </w:rPr>
      </w:pPr>
      <w:r w:rsidRPr="008642FA">
        <w:rPr>
          <w:rFonts w:ascii="Arial" w:hAnsi="Arial" w:cs="Arial"/>
          <w:sz w:val="24"/>
          <w:szCs w:val="24"/>
        </w:rPr>
        <w:t>Grupo B1 (n=24): Esmalte desmineralizado, não fo</w:t>
      </w:r>
      <w:r w:rsidR="00B42611" w:rsidRPr="008642FA">
        <w:rPr>
          <w:rFonts w:ascii="Arial" w:hAnsi="Arial" w:cs="Arial"/>
          <w:sz w:val="24"/>
          <w:szCs w:val="24"/>
        </w:rPr>
        <w:t>i submetido</w:t>
      </w:r>
      <w:r w:rsidRPr="008642FA">
        <w:rPr>
          <w:rFonts w:ascii="Arial" w:hAnsi="Arial" w:cs="Arial"/>
          <w:sz w:val="24"/>
          <w:szCs w:val="24"/>
        </w:rPr>
        <w:t xml:space="preserve"> a nenhum tratamento remineralizador;</w:t>
      </w:r>
    </w:p>
    <w:p w:rsidR="00256E45" w:rsidRPr="008642FA" w:rsidRDefault="00F647E6" w:rsidP="00C77CF0">
      <w:pPr>
        <w:pStyle w:val="PargrafodaLista"/>
        <w:numPr>
          <w:ilvl w:val="0"/>
          <w:numId w:val="1"/>
        </w:numPr>
        <w:spacing w:after="0" w:line="480" w:lineRule="auto"/>
        <w:ind w:left="426"/>
        <w:jc w:val="both"/>
        <w:rPr>
          <w:rFonts w:ascii="Arial" w:hAnsi="Arial" w:cs="Arial"/>
          <w:sz w:val="24"/>
          <w:szCs w:val="24"/>
        </w:rPr>
      </w:pPr>
      <w:r w:rsidRPr="008642FA">
        <w:rPr>
          <w:rFonts w:ascii="Arial" w:hAnsi="Arial" w:cs="Arial"/>
          <w:sz w:val="24"/>
          <w:szCs w:val="24"/>
        </w:rPr>
        <w:t>Grupo B2 (n=24):</w:t>
      </w:r>
      <w:r w:rsidR="00B42611" w:rsidRPr="008642FA">
        <w:rPr>
          <w:rFonts w:ascii="Arial" w:hAnsi="Arial" w:cs="Arial"/>
          <w:sz w:val="24"/>
          <w:szCs w:val="24"/>
        </w:rPr>
        <w:t xml:space="preserve"> </w:t>
      </w:r>
      <w:r w:rsidRPr="008642FA">
        <w:rPr>
          <w:rFonts w:ascii="Arial" w:hAnsi="Arial" w:cs="Arial"/>
          <w:sz w:val="24"/>
          <w:szCs w:val="24"/>
        </w:rPr>
        <w:t xml:space="preserve">Esmalte desmineralizado e remineralizado com saliva. </w:t>
      </w:r>
      <w:r w:rsidRPr="008642FA">
        <w:rPr>
          <w:rFonts w:ascii="Arial" w:hAnsi="Arial" w:cs="Arial"/>
          <w:bCs/>
          <w:sz w:val="24"/>
          <w:szCs w:val="24"/>
        </w:rPr>
        <w:t>O</w:t>
      </w:r>
      <w:r w:rsidRPr="008642FA">
        <w:rPr>
          <w:rFonts w:ascii="Arial" w:hAnsi="Arial" w:cs="Arial"/>
          <w:sz w:val="24"/>
          <w:szCs w:val="24"/>
        </w:rPr>
        <w:t xml:space="preserve">s corpos de prova ficaram imersos durante 8 semanas em saliva artificial </w:t>
      </w:r>
      <w:r w:rsidRPr="008642FA">
        <w:rPr>
          <w:rFonts w:ascii="Arial" w:hAnsi="Arial" w:cs="Arial"/>
          <w:color w:val="000000"/>
          <w:sz w:val="24"/>
          <w:szCs w:val="24"/>
        </w:rPr>
        <w:t>[15]</w:t>
      </w:r>
      <w:r w:rsidRPr="008642FA">
        <w:rPr>
          <w:rFonts w:ascii="Arial" w:hAnsi="Arial" w:cs="Arial"/>
          <w:sz w:val="24"/>
          <w:szCs w:val="24"/>
        </w:rPr>
        <w:t xml:space="preserve"> a qual foi trocada diariamente;</w:t>
      </w:r>
    </w:p>
    <w:p w:rsidR="00256E45" w:rsidRPr="008642FA" w:rsidRDefault="00F647E6" w:rsidP="00C77CF0">
      <w:pPr>
        <w:pStyle w:val="PargrafodaLista"/>
        <w:numPr>
          <w:ilvl w:val="0"/>
          <w:numId w:val="1"/>
        </w:numPr>
        <w:spacing w:after="0" w:line="480" w:lineRule="auto"/>
        <w:ind w:left="426"/>
        <w:jc w:val="both"/>
        <w:rPr>
          <w:rFonts w:ascii="Arial" w:hAnsi="Arial" w:cs="Arial"/>
          <w:sz w:val="24"/>
          <w:szCs w:val="24"/>
        </w:rPr>
      </w:pPr>
      <w:r w:rsidRPr="008642FA">
        <w:rPr>
          <w:rFonts w:ascii="Arial" w:hAnsi="Arial" w:cs="Arial"/>
          <w:sz w:val="24"/>
          <w:szCs w:val="24"/>
        </w:rPr>
        <w:lastRenderedPageBreak/>
        <w:t>Grupo B3 (n=24):</w:t>
      </w:r>
      <w:r w:rsidR="00B42611" w:rsidRPr="008642FA">
        <w:rPr>
          <w:rFonts w:ascii="Arial" w:hAnsi="Arial" w:cs="Arial"/>
          <w:sz w:val="24"/>
          <w:szCs w:val="24"/>
        </w:rPr>
        <w:t xml:space="preserve"> </w:t>
      </w:r>
      <w:r w:rsidRPr="008642FA">
        <w:rPr>
          <w:rFonts w:ascii="Arial" w:hAnsi="Arial" w:cs="Arial"/>
          <w:sz w:val="24"/>
          <w:szCs w:val="24"/>
        </w:rPr>
        <w:t xml:space="preserve">Esmalte desmineralizado e remineralizado com flúor. </w:t>
      </w:r>
      <w:r w:rsidRPr="008642FA">
        <w:rPr>
          <w:rFonts w:ascii="Arial" w:hAnsi="Arial" w:cs="Arial"/>
          <w:bCs/>
          <w:sz w:val="24"/>
          <w:szCs w:val="24"/>
        </w:rPr>
        <w:t>O</w:t>
      </w:r>
      <w:r w:rsidRPr="008642FA">
        <w:rPr>
          <w:rFonts w:ascii="Arial" w:hAnsi="Arial" w:cs="Arial"/>
          <w:sz w:val="24"/>
          <w:szCs w:val="24"/>
        </w:rPr>
        <w:t>s corpos de prova foram imersos em solução de fluoreto 0,05% durante 1 minuto e lavados com água deionizada, sendo  imersos em saliva artificial diariamente, sendo que este processo foi repetido por 8 semanas,</w:t>
      </w:r>
    </w:p>
    <w:p w:rsidR="00256E45" w:rsidRPr="008642FA" w:rsidRDefault="00F647E6" w:rsidP="00C77CF0">
      <w:pPr>
        <w:pStyle w:val="PargrafodaLista"/>
        <w:numPr>
          <w:ilvl w:val="0"/>
          <w:numId w:val="1"/>
        </w:numPr>
        <w:spacing w:after="0" w:line="480" w:lineRule="auto"/>
        <w:ind w:left="426" w:hanging="284"/>
        <w:jc w:val="both"/>
        <w:rPr>
          <w:rFonts w:ascii="Arial" w:hAnsi="Arial" w:cs="Arial"/>
          <w:sz w:val="24"/>
          <w:szCs w:val="24"/>
        </w:rPr>
      </w:pPr>
      <w:r w:rsidRPr="008642FA">
        <w:rPr>
          <w:rFonts w:ascii="Arial" w:hAnsi="Arial" w:cs="Arial"/>
          <w:sz w:val="24"/>
          <w:szCs w:val="24"/>
        </w:rPr>
        <w:t>Grupo B4 (n=24): Esmalte desmin</w:t>
      </w:r>
      <w:r w:rsidR="00B42611" w:rsidRPr="008642FA">
        <w:rPr>
          <w:rFonts w:ascii="Arial" w:hAnsi="Arial" w:cs="Arial"/>
          <w:sz w:val="24"/>
          <w:szCs w:val="24"/>
        </w:rPr>
        <w:t xml:space="preserve">eralizado e infiltrado com ICON. </w:t>
      </w:r>
      <w:r w:rsidRPr="008642FA">
        <w:rPr>
          <w:rFonts w:ascii="Arial" w:hAnsi="Arial" w:cs="Arial"/>
          <w:sz w:val="24"/>
          <w:szCs w:val="24"/>
        </w:rPr>
        <w:t xml:space="preserve">Para infiltração do Icon foi aplicado o Ácido Fosfórico a 35% (Magic Acid, Vigodent/Rio de Janeiro-RJ, Brasil) por 30 segundos </w:t>
      </w:r>
      <w:r w:rsidRPr="008642FA">
        <w:rPr>
          <w:rFonts w:ascii="Arial" w:hAnsi="Arial" w:cs="Arial"/>
          <w:color w:val="000000"/>
          <w:sz w:val="24"/>
          <w:szCs w:val="24"/>
        </w:rPr>
        <w:t xml:space="preserve">[16] </w:t>
      </w:r>
      <w:r w:rsidRPr="008642FA">
        <w:rPr>
          <w:rFonts w:ascii="Arial" w:hAnsi="Arial" w:cs="Arial"/>
          <w:sz w:val="24"/>
          <w:szCs w:val="24"/>
        </w:rPr>
        <w:t xml:space="preserve">e os corpos de prova foram lavados com água e secos por 30 segundos com jato de ar, depois aplicado o Icon-Dry por 30 segundos e secos com ar. Por fim, foi aplicado o Icon-Infiltrant por 3 minutos, </w:t>
      </w:r>
      <w:r w:rsidR="00B42611" w:rsidRPr="008642FA">
        <w:rPr>
          <w:rFonts w:ascii="Arial" w:hAnsi="Arial" w:cs="Arial"/>
          <w:sz w:val="24"/>
          <w:szCs w:val="24"/>
        </w:rPr>
        <w:t xml:space="preserve">seguido de </w:t>
      </w:r>
      <w:r w:rsidRPr="008642FA">
        <w:rPr>
          <w:rFonts w:ascii="Arial" w:hAnsi="Arial" w:cs="Arial"/>
          <w:sz w:val="24"/>
          <w:szCs w:val="24"/>
        </w:rPr>
        <w:t xml:space="preserve"> fotopolimeriza</w:t>
      </w:r>
      <w:r w:rsidR="00B42611" w:rsidRPr="008642FA">
        <w:rPr>
          <w:rFonts w:ascii="Arial" w:hAnsi="Arial" w:cs="Arial"/>
          <w:sz w:val="24"/>
          <w:szCs w:val="24"/>
        </w:rPr>
        <w:t>ção</w:t>
      </w:r>
      <w:r w:rsidRPr="008642FA">
        <w:rPr>
          <w:rFonts w:ascii="Arial" w:hAnsi="Arial" w:cs="Arial"/>
          <w:sz w:val="24"/>
          <w:szCs w:val="24"/>
        </w:rPr>
        <w:t xml:space="preserve"> por 40 segundos</w:t>
      </w:r>
      <w:r w:rsidR="00B42611" w:rsidRPr="008642FA">
        <w:rPr>
          <w:rFonts w:ascii="Arial" w:hAnsi="Arial" w:cs="Arial"/>
          <w:sz w:val="24"/>
          <w:szCs w:val="24"/>
        </w:rPr>
        <w:t>,</w:t>
      </w:r>
      <w:r w:rsidRPr="008642FA">
        <w:rPr>
          <w:rFonts w:ascii="Arial" w:hAnsi="Arial" w:cs="Arial"/>
          <w:sz w:val="24"/>
          <w:szCs w:val="24"/>
        </w:rPr>
        <w:t xml:space="preserve"> </w:t>
      </w:r>
      <w:r w:rsidR="00B42611" w:rsidRPr="008642FA">
        <w:rPr>
          <w:rFonts w:ascii="Arial" w:hAnsi="Arial" w:cs="Arial"/>
          <w:sz w:val="24"/>
          <w:szCs w:val="24"/>
        </w:rPr>
        <w:t xml:space="preserve">e </w:t>
      </w:r>
      <w:r w:rsidRPr="008642FA">
        <w:rPr>
          <w:rFonts w:ascii="Arial" w:hAnsi="Arial" w:cs="Arial"/>
          <w:sz w:val="24"/>
          <w:szCs w:val="24"/>
        </w:rPr>
        <w:t xml:space="preserve">polimento </w:t>
      </w:r>
      <w:r w:rsidRPr="008642FA">
        <w:rPr>
          <w:rFonts w:ascii="Arial" w:hAnsi="Arial" w:cs="Arial"/>
          <w:color w:val="000000"/>
          <w:sz w:val="24"/>
          <w:szCs w:val="24"/>
        </w:rPr>
        <w:t>[17,18].</w:t>
      </w:r>
    </w:p>
    <w:p w:rsidR="0078515E" w:rsidRPr="008642FA" w:rsidRDefault="00F647E6" w:rsidP="00C77CF0">
      <w:pPr>
        <w:spacing w:line="480" w:lineRule="auto"/>
        <w:ind w:left="66" w:firstLine="360"/>
        <w:jc w:val="both"/>
        <w:rPr>
          <w:rFonts w:ascii="Arial" w:hAnsi="Arial" w:cs="Arial"/>
          <w:sz w:val="24"/>
          <w:szCs w:val="24"/>
        </w:rPr>
      </w:pPr>
      <w:r w:rsidRPr="008642FA">
        <w:rPr>
          <w:rFonts w:ascii="Arial" w:hAnsi="Arial" w:cs="Arial"/>
          <w:sz w:val="24"/>
          <w:szCs w:val="24"/>
        </w:rPr>
        <w:t>Os 24 espécimes de cada grupo foram divididos em dois (n=12) de acordo com os sistemas adesivos utilizados (Quadro1).</w:t>
      </w:r>
    </w:p>
    <w:tbl>
      <w:tblPr>
        <w:tblW w:w="9497" w:type="dxa"/>
        <w:tblInd w:w="19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989"/>
        <w:gridCol w:w="2017"/>
        <w:gridCol w:w="2948"/>
        <w:gridCol w:w="3543"/>
      </w:tblGrid>
      <w:tr w:rsidR="00256E45" w:rsidRPr="008642FA" w:rsidTr="00C77CF0">
        <w:tc>
          <w:tcPr>
            <w:tcW w:w="989" w:type="dxa"/>
            <w:vMerge w:val="restart"/>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120 dentes</w:t>
            </w:r>
          </w:p>
        </w:tc>
        <w:tc>
          <w:tcPr>
            <w:tcW w:w="2017" w:type="dxa"/>
            <w:vMerge w:val="restart"/>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Grupo A (controle)</w:t>
            </w:r>
          </w:p>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(24 dentes)</w:t>
            </w:r>
          </w:p>
        </w:tc>
        <w:tc>
          <w:tcPr>
            <w:tcW w:w="6491"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lang w:val="en-US"/>
              </w:rPr>
            </w:pPr>
            <w:r w:rsidRPr="008642FA">
              <w:rPr>
                <w:rFonts w:ascii="Arial" w:hAnsi="Arial" w:cs="Arial"/>
                <w:sz w:val="24"/>
                <w:szCs w:val="24"/>
                <w:lang w:val="en-US"/>
              </w:rPr>
              <w:t>AE: Easy Clearfil SE  (ECSE) +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lang w:val="en-US"/>
              </w:rPr>
            </w:pPr>
          </w:p>
        </w:tc>
        <w:tc>
          <w:tcPr>
            <w:tcW w:w="2017"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lang w:val="en-US"/>
              </w:rPr>
            </w:pPr>
          </w:p>
        </w:tc>
        <w:tc>
          <w:tcPr>
            <w:tcW w:w="6491" w:type="dxa"/>
            <w:gridSpan w:val="2"/>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lang w:val="en-US"/>
              </w:rPr>
            </w:pPr>
            <w:r w:rsidRPr="008642FA">
              <w:rPr>
                <w:rFonts w:ascii="Arial" w:hAnsi="Arial" w:cs="Arial"/>
                <w:sz w:val="24"/>
                <w:szCs w:val="24"/>
                <w:lang w:val="en-US"/>
              </w:rPr>
              <w:t>AA: Adper Single Bond U (ASBU) +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lang w:val="en-US"/>
              </w:rPr>
            </w:pPr>
          </w:p>
        </w:tc>
        <w:tc>
          <w:tcPr>
            <w:tcW w:w="2017" w:type="dxa"/>
            <w:vMerge w:val="restart"/>
            <w:tcBorders>
              <w:left w:val="single" w:sz="2" w:space="0" w:color="000000"/>
              <w:bottom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Grupo B (desmineralizado)</w:t>
            </w:r>
          </w:p>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(96 dentes)</w:t>
            </w:r>
          </w:p>
        </w:tc>
        <w:tc>
          <w:tcPr>
            <w:tcW w:w="2948" w:type="dxa"/>
            <w:vMerge w:val="restart"/>
            <w:tcBorders>
              <w:left w:val="single" w:sz="2" w:space="0" w:color="000000"/>
              <w:bottom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B1: apenas desmineralizadora</w:t>
            </w:r>
          </w:p>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(24 dentes)</w:t>
            </w:r>
          </w:p>
        </w:tc>
        <w:tc>
          <w:tcPr>
            <w:tcW w:w="3543" w:type="dxa"/>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B1E: ECSE +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017"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948"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3543" w:type="dxa"/>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B1A: ASBU +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017"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948" w:type="dxa"/>
            <w:vMerge w:val="restart"/>
            <w:tcBorders>
              <w:left w:val="single" w:sz="2" w:space="0" w:color="000000"/>
              <w:bottom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B2: remineralizado com saliva artificial</w:t>
            </w:r>
          </w:p>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(24 dentes)</w:t>
            </w:r>
          </w:p>
        </w:tc>
        <w:tc>
          <w:tcPr>
            <w:tcW w:w="3543" w:type="dxa"/>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B2E: ECSE +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017"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948"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3543" w:type="dxa"/>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B2A: ASBU +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017"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948" w:type="dxa"/>
            <w:vMerge w:val="restart"/>
            <w:tcBorders>
              <w:left w:val="single" w:sz="2" w:space="0" w:color="000000"/>
              <w:bottom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B3: remineralizado com flúor</w:t>
            </w:r>
          </w:p>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(24 dentes)</w:t>
            </w:r>
          </w:p>
        </w:tc>
        <w:tc>
          <w:tcPr>
            <w:tcW w:w="3543" w:type="dxa"/>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B3E: ECSE +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017"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948"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3543" w:type="dxa"/>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B3A: ASBU+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017"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948" w:type="dxa"/>
            <w:vMerge w:val="restart"/>
            <w:tcBorders>
              <w:left w:val="single" w:sz="2" w:space="0" w:color="000000"/>
              <w:bottom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 xml:space="preserve">B4: Infiltrado com Icon </w:t>
            </w:r>
          </w:p>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(24 dentes)</w:t>
            </w:r>
          </w:p>
        </w:tc>
        <w:tc>
          <w:tcPr>
            <w:tcW w:w="3543" w:type="dxa"/>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B4E: ECSE + Filtek (12 dentes)</w:t>
            </w:r>
          </w:p>
        </w:tc>
      </w:tr>
      <w:tr w:rsidR="00256E45" w:rsidRPr="008642FA" w:rsidTr="00C77CF0">
        <w:tc>
          <w:tcPr>
            <w:tcW w:w="989" w:type="dxa"/>
            <w:vMerge/>
            <w:tcBorders>
              <w:top w:val="single" w:sz="2" w:space="0" w:color="000000"/>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017"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2948" w:type="dxa"/>
            <w:vMerge/>
            <w:tcBorders>
              <w:left w:val="single" w:sz="2" w:space="0" w:color="000000"/>
              <w:bottom w:val="single" w:sz="2" w:space="0" w:color="000000"/>
            </w:tcBorders>
            <w:shd w:val="clear" w:color="auto" w:fill="auto"/>
            <w:tcMar>
              <w:left w:w="54" w:type="dxa"/>
            </w:tcMar>
            <w:vAlign w:val="center"/>
          </w:tcPr>
          <w:p w:rsidR="00256E45" w:rsidRPr="008642FA" w:rsidRDefault="00256E45" w:rsidP="00C77CF0">
            <w:pPr>
              <w:pStyle w:val="Contedodatabela"/>
              <w:spacing w:line="240" w:lineRule="auto"/>
              <w:jc w:val="center"/>
              <w:rPr>
                <w:rFonts w:ascii="Arial" w:hAnsi="Arial" w:cs="Arial"/>
                <w:sz w:val="24"/>
                <w:szCs w:val="24"/>
              </w:rPr>
            </w:pPr>
          </w:p>
        </w:tc>
        <w:tc>
          <w:tcPr>
            <w:tcW w:w="3543" w:type="dxa"/>
            <w:tcBorders>
              <w:left w:val="single" w:sz="2" w:space="0" w:color="000000"/>
              <w:bottom w:val="single" w:sz="2" w:space="0" w:color="000000"/>
              <w:right w:val="single" w:sz="2" w:space="0" w:color="000000"/>
            </w:tcBorders>
            <w:shd w:val="clear" w:color="auto" w:fill="auto"/>
            <w:tcMar>
              <w:left w:w="54" w:type="dxa"/>
            </w:tcMar>
            <w:vAlign w:val="center"/>
          </w:tcPr>
          <w:p w:rsidR="00256E45" w:rsidRPr="008642FA" w:rsidRDefault="00F647E6" w:rsidP="00C77CF0">
            <w:pPr>
              <w:pStyle w:val="Contedodatabela"/>
              <w:spacing w:line="240" w:lineRule="auto"/>
              <w:jc w:val="center"/>
              <w:rPr>
                <w:rFonts w:ascii="Arial" w:hAnsi="Arial" w:cs="Arial"/>
                <w:sz w:val="24"/>
                <w:szCs w:val="24"/>
              </w:rPr>
            </w:pPr>
            <w:r w:rsidRPr="008642FA">
              <w:rPr>
                <w:rFonts w:ascii="Arial" w:hAnsi="Arial" w:cs="Arial"/>
                <w:sz w:val="24"/>
                <w:szCs w:val="24"/>
              </w:rPr>
              <w:t>B4A: ASBU+Filtek (12 dentes)</w:t>
            </w:r>
          </w:p>
        </w:tc>
      </w:tr>
    </w:tbl>
    <w:p w:rsidR="00256E45" w:rsidRPr="008642FA" w:rsidRDefault="00256E45">
      <w:pPr>
        <w:spacing w:line="360" w:lineRule="auto"/>
        <w:ind w:left="66" w:firstLine="360"/>
        <w:jc w:val="both"/>
        <w:rPr>
          <w:rFonts w:ascii="Arial" w:hAnsi="Arial" w:cs="Arial"/>
          <w:sz w:val="24"/>
          <w:szCs w:val="24"/>
        </w:rPr>
      </w:pPr>
    </w:p>
    <w:p w:rsidR="00256E45" w:rsidRDefault="00F647E6">
      <w:pPr>
        <w:spacing w:line="360" w:lineRule="auto"/>
        <w:jc w:val="both"/>
        <w:rPr>
          <w:rFonts w:ascii="Arial" w:hAnsi="Arial" w:cs="Arial"/>
          <w:sz w:val="24"/>
          <w:szCs w:val="24"/>
        </w:rPr>
      </w:pPr>
      <w:r w:rsidRPr="008642FA">
        <w:rPr>
          <w:rFonts w:ascii="Arial" w:hAnsi="Arial" w:cs="Arial"/>
          <w:b/>
          <w:sz w:val="24"/>
          <w:szCs w:val="24"/>
        </w:rPr>
        <w:t>Quadro 1.</w:t>
      </w:r>
      <w:r w:rsidRPr="008642FA">
        <w:rPr>
          <w:rFonts w:ascii="Arial" w:hAnsi="Arial" w:cs="Arial"/>
          <w:sz w:val="24"/>
          <w:szCs w:val="24"/>
        </w:rPr>
        <w:t xml:space="preserve"> Delineamento dos grupos experimentais.</w:t>
      </w:r>
    </w:p>
    <w:p w:rsidR="00256E45" w:rsidRPr="008642FA" w:rsidRDefault="00F647E6" w:rsidP="00C77CF0">
      <w:pPr>
        <w:spacing w:line="480" w:lineRule="auto"/>
        <w:jc w:val="both"/>
        <w:rPr>
          <w:rFonts w:ascii="Arial" w:hAnsi="Arial" w:cs="Arial"/>
          <w:b/>
          <w:sz w:val="24"/>
          <w:szCs w:val="24"/>
        </w:rPr>
      </w:pPr>
      <w:r w:rsidRPr="008642FA">
        <w:rPr>
          <w:rFonts w:ascii="Arial" w:hAnsi="Arial" w:cs="Arial"/>
          <w:b/>
          <w:color w:val="000000"/>
          <w:sz w:val="24"/>
          <w:szCs w:val="24"/>
        </w:rPr>
        <w:lastRenderedPageBreak/>
        <w:t>Aplicação dos sistemas adesivos</w:t>
      </w:r>
    </w:p>
    <w:p w:rsidR="00256E45" w:rsidRPr="008642FA" w:rsidRDefault="00F647E6" w:rsidP="00C77CF0">
      <w:pPr>
        <w:spacing w:line="480" w:lineRule="auto"/>
        <w:ind w:firstLine="708"/>
        <w:jc w:val="both"/>
        <w:rPr>
          <w:rFonts w:ascii="Arial" w:hAnsi="Arial" w:cs="Arial"/>
          <w:sz w:val="24"/>
          <w:szCs w:val="24"/>
        </w:rPr>
      </w:pPr>
      <w:r w:rsidRPr="008642FA">
        <w:rPr>
          <w:rFonts w:ascii="Arial" w:hAnsi="Arial" w:cs="Arial"/>
          <w:color w:val="000000"/>
          <w:sz w:val="24"/>
          <w:szCs w:val="24"/>
        </w:rPr>
        <w:t>Sobre as superfícies de esmalte tratadas foram aplicados os sistemas adesivos (</w:t>
      </w:r>
      <w:hyperlink r:id="rId8">
        <w:r w:rsidRPr="008642FA">
          <w:rPr>
            <w:rStyle w:val="LinkdaInternet"/>
            <w:rFonts w:ascii="Arial" w:hAnsi="Arial" w:cs="Arial"/>
            <w:bCs/>
            <w:color w:val="000000"/>
            <w:sz w:val="24"/>
            <w:szCs w:val="24"/>
            <w:u w:val="none"/>
            <w:lang w:eastAsia="pt-BR"/>
          </w:rPr>
          <w:t>Clearfil S3 Bond Plus</w:t>
        </w:r>
        <w:r w:rsidRPr="008642FA">
          <w:rPr>
            <w:rStyle w:val="LinkdaInternet"/>
            <w:rFonts w:ascii="Arial" w:hAnsi="Arial" w:cs="Arial"/>
            <w:sz w:val="24"/>
            <w:szCs w:val="24"/>
            <w:lang w:eastAsia="pt-BR"/>
          </w:rPr>
          <w:t> </w:t>
        </w:r>
      </w:hyperlink>
      <w:r w:rsidRPr="008642FA">
        <w:rPr>
          <w:rFonts w:ascii="Arial" w:hAnsi="Arial" w:cs="Arial"/>
          <w:sz w:val="24"/>
          <w:szCs w:val="24"/>
        </w:rPr>
        <w:t>-</w:t>
      </w:r>
      <w:r w:rsidRPr="008642FA">
        <w:rPr>
          <w:rFonts w:ascii="Arial" w:hAnsi="Arial" w:cs="Arial"/>
          <w:color w:val="222222"/>
          <w:sz w:val="24"/>
          <w:szCs w:val="24"/>
          <w:shd w:val="clear" w:color="auto" w:fill="FFFFFF"/>
        </w:rPr>
        <w:t>Kuraray Medical Inc. Okayama,</w:t>
      </w:r>
      <w:r w:rsidRPr="008642FA">
        <w:rPr>
          <w:rStyle w:val="nfase"/>
          <w:rFonts w:ascii="Arial" w:hAnsi="Arial" w:cs="Arial"/>
          <w:bCs/>
          <w:i w:val="0"/>
          <w:color w:val="000000"/>
          <w:sz w:val="24"/>
          <w:szCs w:val="24"/>
          <w:shd w:val="clear" w:color="auto" w:fill="FFFFFF"/>
        </w:rPr>
        <w:t>Japan</w:t>
      </w:r>
      <w:r w:rsidRPr="008642FA">
        <w:rPr>
          <w:rFonts w:ascii="Arial" w:hAnsi="Arial" w:cs="Arial"/>
          <w:color w:val="000000"/>
          <w:sz w:val="24"/>
          <w:szCs w:val="24"/>
        </w:rPr>
        <w:t xml:space="preserve">e Single Bond Universal </w:t>
      </w:r>
      <w:r w:rsidRPr="008642FA">
        <w:rPr>
          <w:rFonts w:ascii="Arial" w:hAnsi="Arial" w:cs="Arial"/>
          <w:sz w:val="24"/>
          <w:szCs w:val="24"/>
        </w:rPr>
        <w:t>-</w:t>
      </w:r>
      <w:r w:rsidRPr="008642FA">
        <w:rPr>
          <w:rFonts w:ascii="Arial" w:hAnsi="Arial" w:cs="Arial"/>
          <w:color w:val="000000"/>
          <w:sz w:val="24"/>
          <w:szCs w:val="24"/>
        </w:rPr>
        <w:t xml:space="preserve"> 3M ESPE,</w:t>
      </w:r>
      <w:r w:rsidRPr="008642FA">
        <w:rPr>
          <w:rFonts w:ascii="Arial" w:hAnsi="Arial" w:cs="Arial"/>
          <w:sz w:val="24"/>
          <w:szCs w:val="24"/>
        </w:rPr>
        <w:t xml:space="preserve"> St. Paul, MN, EUA</w:t>
      </w:r>
      <w:r w:rsidRPr="008642FA">
        <w:rPr>
          <w:rFonts w:ascii="Arial" w:hAnsi="Arial" w:cs="Arial"/>
          <w:color w:val="000000"/>
          <w:sz w:val="24"/>
          <w:szCs w:val="24"/>
        </w:rPr>
        <w:t xml:space="preserve">) de acordo com a indicação do fabricante. </w:t>
      </w:r>
    </w:p>
    <w:p w:rsidR="00256E45" w:rsidRPr="008642FA" w:rsidRDefault="00F647E6" w:rsidP="00C77CF0">
      <w:pPr>
        <w:spacing w:line="480" w:lineRule="auto"/>
        <w:jc w:val="both"/>
        <w:rPr>
          <w:rFonts w:ascii="Arial" w:hAnsi="Arial" w:cs="Arial"/>
          <w:sz w:val="24"/>
          <w:szCs w:val="24"/>
        </w:rPr>
      </w:pPr>
      <w:r w:rsidRPr="008642FA">
        <w:rPr>
          <w:rFonts w:ascii="Arial" w:hAnsi="Arial" w:cs="Arial"/>
          <w:b/>
          <w:sz w:val="24"/>
          <w:szCs w:val="24"/>
        </w:rPr>
        <w:t>Inserção e polimerização da resina composta</w:t>
      </w:r>
    </w:p>
    <w:p w:rsidR="00256E45" w:rsidRPr="008642FA" w:rsidRDefault="00F647E6" w:rsidP="00C77CF0">
      <w:pPr>
        <w:spacing w:line="480" w:lineRule="auto"/>
        <w:jc w:val="both"/>
        <w:rPr>
          <w:rFonts w:ascii="Arial" w:hAnsi="Arial" w:cs="Arial"/>
          <w:sz w:val="24"/>
          <w:szCs w:val="24"/>
        </w:rPr>
      </w:pPr>
      <w:r w:rsidRPr="008642FA">
        <w:rPr>
          <w:rFonts w:ascii="Arial" w:hAnsi="Arial" w:cs="Arial"/>
          <w:sz w:val="24"/>
          <w:szCs w:val="24"/>
        </w:rPr>
        <w:tab/>
        <w:t xml:space="preserve">Com auxílio de uma matriz de silicone com dimensões de 4 mm x 4 mm x 4 mm, a resina composta Filtek Z350 XT (3M ESPE, St. Paul, MN, EUA, cor A3) foi inserida em incrementos de 2 mm, e fotopolimerizados com o aparelho LED </w:t>
      </w:r>
      <w:r w:rsidR="00B42611" w:rsidRPr="008642FA">
        <w:rPr>
          <w:rFonts w:ascii="Arial" w:hAnsi="Arial" w:cs="Arial"/>
          <w:sz w:val="24"/>
          <w:szCs w:val="24"/>
        </w:rPr>
        <w:t>com</w:t>
      </w:r>
      <w:r w:rsidRPr="008642FA">
        <w:rPr>
          <w:rFonts w:ascii="Arial" w:hAnsi="Arial" w:cs="Arial"/>
          <w:sz w:val="24"/>
          <w:szCs w:val="24"/>
        </w:rPr>
        <w:t xml:space="preserve"> 500 mW/cm</w:t>
      </w:r>
      <w:r w:rsidRPr="008642FA">
        <w:rPr>
          <w:rFonts w:ascii="Arial" w:hAnsi="Arial" w:cs="Arial"/>
          <w:sz w:val="24"/>
          <w:szCs w:val="24"/>
          <w:vertAlign w:val="superscript"/>
        </w:rPr>
        <w:t>2</w:t>
      </w:r>
      <w:r w:rsidRPr="008642FA">
        <w:rPr>
          <w:rFonts w:ascii="Arial" w:hAnsi="Arial" w:cs="Arial"/>
          <w:sz w:val="24"/>
          <w:szCs w:val="24"/>
        </w:rPr>
        <w:t xml:space="preserve"> </w:t>
      </w:r>
      <w:r w:rsidR="00B42611" w:rsidRPr="008642FA">
        <w:rPr>
          <w:rFonts w:ascii="Arial" w:hAnsi="Arial" w:cs="Arial"/>
          <w:sz w:val="24"/>
          <w:szCs w:val="24"/>
        </w:rPr>
        <w:t xml:space="preserve">de potência </w:t>
      </w:r>
      <w:r w:rsidRPr="008642FA">
        <w:rPr>
          <w:rFonts w:ascii="Arial" w:hAnsi="Arial" w:cs="Arial"/>
          <w:sz w:val="24"/>
          <w:szCs w:val="24"/>
        </w:rPr>
        <w:t>(Emitter A, Schuster) por 20 s cada incremento. A matriz de silicone foi removida e cada face do bloco de resina foi fotopolimerizad</w:t>
      </w:r>
      <w:r w:rsidR="001A47CC" w:rsidRPr="008642FA">
        <w:rPr>
          <w:rFonts w:ascii="Arial" w:hAnsi="Arial" w:cs="Arial"/>
          <w:sz w:val="24"/>
          <w:szCs w:val="24"/>
        </w:rPr>
        <w:t xml:space="preserve">a por mais 20 s. </w:t>
      </w:r>
      <w:r w:rsidRPr="008642FA">
        <w:rPr>
          <w:rFonts w:ascii="Arial" w:hAnsi="Arial" w:cs="Arial"/>
          <w:sz w:val="24"/>
          <w:szCs w:val="24"/>
        </w:rPr>
        <w:t>Os dentes restaurados foram armazenados em água destilada em estufa bacteriológica a 37º C por 24h.</w:t>
      </w:r>
    </w:p>
    <w:p w:rsidR="00256E45" w:rsidRPr="008642FA" w:rsidRDefault="00F647E6" w:rsidP="00C77CF0">
      <w:pPr>
        <w:spacing w:line="480" w:lineRule="auto"/>
        <w:jc w:val="both"/>
        <w:rPr>
          <w:rFonts w:ascii="Arial" w:hAnsi="Arial" w:cs="Arial"/>
          <w:b/>
          <w:sz w:val="24"/>
          <w:szCs w:val="24"/>
        </w:rPr>
      </w:pPr>
      <w:r w:rsidRPr="008642FA">
        <w:rPr>
          <w:rFonts w:ascii="Arial" w:hAnsi="Arial" w:cs="Arial"/>
          <w:b/>
          <w:sz w:val="24"/>
          <w:szCs w:val="24"/>
        </w:rPr>
        <w:t xml:space="preserve">Ciclagem térmica </w:t>
      </w:r>
    </w:p>
    <w:p w:rsidR="00256E45" w:rsidRPr="008642FA" w:rsidRDefault="00F647E6" w:rsidP="00C77CF0">
      <w:pPr>
        <w:pStyle w:val="NoSpacing1"/>
        <w:spacing w:line="480" w:lineRule="auto"/>
        <w:ind w:firstLine="720"/>
        <w:jc w:val="both"/>
        <w:rPr>
          <w:rFonts w:ascii="Arial" w:hAnsi="Arial" w:cs="Arial"/>
          <w:sz w:val="24"/>
          <w:szCs w:val="24"/>
        </w:rPr>
      </w:pPr>
      <w:r w:rsidRPr="008642FA">
        <w:rPr>
          <w:rFonts w:ascii="Arial" w:hAnsi="Arial" w:cs="Arial"/>
          <w:sz w:val="24"/>
          <w:szCs w:val="24"/>
        </w:rPr>
        <w:t xml:space="preserve">Os corpos de prova foram submetidos a ciclagem térmica </w:t>
      </w:r>
      <w:r w:rsidR="00A14420" w:rsidRPr="008642FA">
        <w:rPr>
          <w:rFonts w:ascii="Arial" w:hAnsi="Arial" w:cs="Arial"/>
          <w:sz w:val="24"/>
          <w:szCs w:val="24"/>
        </w:rPr>
        <w:t xml:space="preserve">(Máquina ER 26000, </w:t>
      </w:r>
      <w:r w:rsidRPr="008642FA">
        <w:rPr>
          <w:rFonts w:ascii="Arial" w:hAnsi="Arial" w:cs="Arial"/>
          <w:sz w:val="24"/>
          <w:szCs w:val="24"/>
        </w:rPr>
        <w:t>Erios, Brasil) em 3 cubas</w:t>
      </w:r>
      <w:r w:rsidR="00A14420" w:rsidRPr="008642FA">
        <w:rPr>
          <w:rFonts w:ascii="Arial" w:hAnsi="Arial" w:cs="Arial"/>
          <w:sz w:val="24"/>
          <w:szCs w:val="24"/>
        </w:rPr>
        <w:t>:</w:t>
      </w:r>
      <w:r w:rsidRPr="008642FA">
        <w:rPr>
          <w:rFonts w:ascii="Arial" w:hAnsi="Arial" w:cs="Arial"/>
          <w:sz w:val="24"/>
          <w:szCs w:val="24"/>
        </w:rPr>
        <w:t xml:space="preserve"> para banho frio (2ºC e 5ºC), quente (50ºC e 55ºC</w:t>
      </w:r>
      <w:r w:rsidR="00A14420" w:rsidRPr="008642FA">
        <w:rPr>
          <w:rFonts w:ascii="Arial" w:hAnsi="Arial" w:cs="Arial"/>
          <w:sz w:val="24"/>
          <w:szCs w:val="24"/>
        </w:rPr>
        <w:t xml:space="preserve">) e intermediário (37°C ± 2°C), </w:t>
      </w:r>
      <w:r w:rsidRPr="008642FA">
        <w:rPr>
          <w:rFonts w:ascii="Arial" w:hAnsi="Arial" w:cs="Arial"/>
          <w:sz w:val="24"/>
          <w:szCs w:val="24"/>
        </w:rPr>
        <w:t xml:space="preserve">totalizando 10000 ciclos e com o tempo de permanência dos espécimes em cada banho </w:t>
      </w:r>
      <w:r w:rsidR="00A14420" w:rsidRPr="008642FA">
        <w:rPr>
          <w:rFonts w:ascii="Arial" w:hAnsi="Arial" w:cs="Arial"/>
          <w:sz w:val="24"/>
          <w:szCs w:val="24"/>
        </w:rPr>
        <w:t>durante</w:t>
      </w:r>
      <w:r w:rsidRPr="008642FA">
        <w:rPr>
          <w:rFonts w:ascii="Arial" w:hAnsi="Arial" w:cs="Arial"/>
          <w:sz w:val="24"/>
          <w:szCs w:val="24"/>
        </w:rPr>
        <w:t xml:space="preserve"> 15 segundos </w:t>
      </w:r>
      <w:r w:rsidRPr="008642FA">
        <w:rPr>
          <w:rFonts w:ascii="Arial" w:hAnsi="Arial" w:cs="Arial"/>
          <w:color w:val="000000"/>
          <w:sz w:val="24"/>
          <w:szCs w:val="24"/>
        </w:rPr>
        <w:t>[19].</w:t>
      </w:r>
    </w:p>
    <w:p w:rsidR="00256E45" w:rsidRPr="008642FA" w:rsidRDefault="00256E45" w:rsidP="00C77CF0">
      <w:pPr>
        <w:pStyle w:val="NoSpacing1"/>
        <w:spacing w:line="480" w:lineRule="auto"/>
        <w:ind w:firstLine="720"/>
        <w:jc w:val="both"/>
        <w:rPr>
          <w:rFonts w:ascii="Arial" w:hAnsi="Arial" w:cs="Arial"/>
          <w:sz w:val="24"/>
          <w:szCs w:val="24"/>
        </w:rPr>
      </w:pPr>
    </w:p>
    <w:p w:rsidR="00256E45" w:rsidRPr="008642FA" w:rsidRDefault="00F647E6" w:rsidP="00C77CF0">
      <w:pPr>
        <w:pStyle w:val="SemEspaamento"/>
        <w:spacing w:line="480" w:lineRule="auto"/>
        <w:ind w:left="142"/>
        <w:jc w:val="both"/>
        <w:rPr>
          <w:rFonts w:ascii="Arial" w:hAnsi="Arial" w:cs="Arial"/>
          <w:b/>
          <w:sz w:val="24"/>
          <w:szCs w:val="24"/>
        </w:rPr>
      </w:pPr>
      <w:r w:rsidRPr="008642FA">
        <w:rPr>
          <w:rFonts w:ascii="Arial" w:hAnsi="Arial" w:cs="Arial"/>
          <w:b/>
          <w:sz w:val="24"/>
          <w:szCs w:val="24"/>
        </w:rPr>
        <w:t>Preparo dos espécimes para microtração</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Foram realizadas secções paralelas ao longo eixo do dente nos sentidos mésio-</w:t>
      </w:r>
      <w:r w:rsidR="00FC4034" w:rsidRPr="008642FA">
        <w:rPr>
          <w:rFonts w:ascii="Arial" w:hAnsi="Arial" w:cs="Arial"/>
          <w:sz w:val="24"/>
          <w:szCs w:val="24"/>
        </w:rPr>
        <w:t>distal e vestíbulo-lingual (Figuras 2A e 2B)</w:t>
      </w:r>
      <w:r w:rsidRPr="008642FA">
        <w:rPr>
          <w:rFonts w:ascii="Arial" w:hAnsi="Arial" w:cs="Arial"/>
          <w:sz w:val="24"/>
          <w:szCs w:val="24"/>
        </w:rPr>
        <w:t xml:space="preserve"> com espessura aproximada de 1 mm, em uma máquina de cortes seriados Labcut 1010 (Extec Technologies Inc., Enfield, CT, EUA) utilizando-se um disco de diamante em baixa velocidade, sob refrigeração abundante, obtendo-se palitos de resina composta e estrutura dental. Cada dente preparado originou cerca de 4 a 9 palitos internos. Os palitos selecionados para o ensaio de microtração foram aqueles em que a área de união permanecia preservada após as secções, e as </w:t>
      </w:r>
      <w:r w:rsidRPr="008642FA">
        <w:rPr>
          <w:rFonts w:ascii="Arial" w:hAnsi="Arial" w:cs="Arial"/>
          <w:sz w:val="24"/>
          <w:szCs w:val="24"/>
        </w:rPr>
        <w:lastRenderedPageBreak/>
        <w:t>estruturas adjacentes à interface adesiva deveriam oferecer extensão mínima de 2 mm e nenhum defeito superficial.</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A área dos palitos foi medida antes da execução do ensaio mecânico, empregando um paquímetro eletrônico digital (Starrett Indústria e Comércio Ltda, São Paulo, SP, Brasil). O valor da área e o valor de carga para rompimento da união serviram para calcular a resistência de união à tração em Mega Pascal (MPa) através da seguinte fórmula: Rm=F/A, onde: Rm é a resistência à microtração; F é a força aplicada em Kgf; e A é a área de união em mm.</w:t>
      </w:r>
    </w:p>
    <w:p w:rsidR="00256E45" w:rsidRPr="008642FA" w:rsidRDefault="00F647E6" w:rsidP="00C77CF0">
      <w:pPr>
        <w:pStyle w:val="Default"/>
        <w:spacing w:line="480" w:lineRule="auto"/>
        <w:jc w:val="both"/>
        <w:rPr>
          <w:lang w:val="pt-BR"/>
        </w:rPr>
      </w:pPr>
      <w:r w:rsidRPr="008642FA">
        <w:rPr>
          <w:lang w:val="pt-BR"/>
        </w:rPr>
        <w:tab/>
        <w:t xml:space="preserve">Os espécimes foram fixados com cola de cianoacrilato em gel Loctite 454 (Henkel Loctite Adesivos Ltda, Itapevi, SP, Brasil) no dispositivo de microtração (Odeme, Joaçaba, SC, Brasil) para realização do ensaio de tração na máquina de testes universais (DL-200, EMIC, São José dos Pinhais, PR, Brasil). Foi utilizada uma célula de carga de 10 kgf, a uma velocidade de 0,5 mm/min segundo as normas descritas no ISO/TR 11405. No momento da fratura, os valores de resistência da união à microtração foram coletados e tabulados para realização da análise estatística. </w:t>
      </w:r>
    </w:p>
    <w:p w:rsidR="00256E45" w:rsidRPr="008642FA" w:rsidRDefault="00256E45" w:rsidP="00C77CF0">
      <w:pPr>
        <w:pStyle w:val="Default"/>
        <w:spacing w:line="480" w:lineRule="auto"/>
        <w:jc w:val="both"/>
        <w:rPr>
          <w:lang w:val="pt-BR"/>
        </w:rPr>
      </w:pPr>
    </w:p>
    <w:p w:rsidR="00256E45" w:rsidRPr="008642FA" w:rsidRDefault="00F647E6" w:rsidP="00C77CF0">
      <w:pPr>
        <w:pStyle w:val="Default"/>
        <w:jc w:val="both"/>
        <w:rPr>
          <w:lang w:val="pt-BR"/>
        </w:rPr>
      </w:pPr>
      <w:r w:rsidRPr="008642FA">
        <w:rPr>
          <w:lang w:val="pt-BR"/>
        </w:rPr>
        <w:t xml:space="preserve">Figura 2: </w:t>
      </w:r>
      <w:r w:rsidR="00FC4034" w:rsidRPr="008642FA">
        <w:rPr>
          <w:lang w:val="pt-BR"/>
        </w:rPr>
        <w:t>Preparo dos espécimes</w:t>
      </w:r>
      <w:r w:rsidRPr="008642FA">
        <w:rPr>
          <w:lang w:val="pt-BR"/>
        </w:rPr>
        <w:t xml:space="preserve"> </w:t>
      </w:r>
      <w:r w:rsidR="00FC4034" w:rsidRPr="008642FA">
        <w:rPr>
          <w:lang w:val="pt-BR"/>
        </w:rPr>
        <w:t>para o</w:t>
      </w:r>
      <w:r w:rsidRPr="008642FA">
        <w:rPr>
          <w:lang w:val="pt-BR"/>
        </w:rPr>
        <w:t xml:space="preserve"> teste de microtração. A) Espécime restaurado; B) Secções paralelas realizadas na máquina de cortes; C) Palitos obtidos; D) Palito obtido após as secções; E) Ensaio mecânico de microtração.</w:t>
      </w:r>
    </w:p>
    <w:p w:rsidR="0057324F" w:rsidRPr="008642FA" w:rsidRDefault="00F647E6" w:rsidP="00C77CF0">
      <w:pPr>
        <w:pStyle w:val="Default"/>
        <w:spacing w:line="480" w:lineRule="auto"/>
        <w:jc w:val="both"/>
        <w:rPr>
          <w:lang w:val="pt-BR"/>
        </w:rPr>
      </w:pPr>
      <w:r w:rsidRPr="008642FA">
        <w:rPr>
          <w:lang w:val="pt-BR"/>
        </w:rPr>
        <w:tab/>
      </w:r>
    </w:p>
    <w:p w:rsidR="00256E45" w:rsidRPr="008642FA" w:rsidRDefault="00F647E6" w:rsidP="00C77CF0">
      <w:pPr>
        <w:pStyle w:val="Default"/>
        <w:spacing w:line="480" w:lineRule="auto"/>
        <w:ind w:firstLine="360"/>
        <w:jc w:val="both"/>
        <w:rPr>
          <w:lang w:val="pt-BR"/>
        </w:rPr>
      </w:pPr>
      <w:r w:rsidRPr="008642FA">
        <w:rPr>
          <w:lang w:val="pt-BR"/>
        </w:rPr>
        <w:t xml:space="preserve">Os espécimes fraturados foram corados com hematoxilina a 7%, durante 3 min e analisados em estereomicroscópio X345 (Discovery V20, Karl Zeiss, Jena, Alemanha) com aumento de 40 vezes para determinação do tipo de fratura: </w:t>
      </w:r>
    </w:p>
    <w:p w:rsidR="00256E45" w:rsidRPr="008642FA" w:rsidRDefault="00F647E6" w:rsidP="00C77CF0">
      <w:pPr>
        <w:pStyle w:val="Default"/>
        <w:numPr>
          <w:ilvl w:val="0"/>
          <w:numId w:val="2"/>
        </w:numPr>
        <w:spacing w:line="480" w:lineRule="auto"/>
        <w:jc w:val="both"/>
        <w:rPr>
          <w:lang w:val="pt-BR"/>
        </w:rPr>
      </w:pPr>
      <w:r w:rsidRPr="008642FA">
        <w:rPr>
          <w:b/>
          <w:bCs/>
          <w:lang w:val="pt-BR"/>
        </w:rPr>
        <w:t>Adesiva</w:t>
      </w:r>
      <w:r w:rsidR="00FC4034" w:rsidRPr="008642FA">
        <w:rPr>
          <w:b/>
          <w:bCs/>
          <w:lang w:val="pt-BR"/>
        </w:rPr>
        <w:t>:</w:t>
      </w:r>
      <w:r w:rsidRPr="008642FA">
        <w:rPr>
          <w:lang w:val="pt-BR"/>
        </w:rPr>
        <w:t xml:space="preserve"> Fratura na interface adesivo/estrutura dental ou na interface adesivo/resina composta, em mais de 75% da área analisada; </w:t>
      </w:r>
    </w:p>
    <w:p w:rsidR="00256E45" w:rsidRPr="008642FA" w:rsidRDefault="00F647E6" w:rsidP="00C77CF0">
      <w:pPr>
        <w:pStyle w:val="Default"/>
        <w:numPr>
          <w:ilvl w:val="0"/>
          <w:numId w:val="2"/>
        </w:numPr>
        <w:spacing w:line="480" w:lineRule="auto"/>
        <w:jc w:val="both"/>
        <w:rPr>
          <w:lang w:val="pt-BR"/>
        </w:rPr>
      </w:pPr>
      <w:r w:rsidRPr="008642FA">
        <w:rPr>
          <w:b/>
          <w:bCs/>
          <w:lang w:val="pt-BR"/>
        </w:rPr>
        <w:t>Mista</w:t>
      </w:r>
      <w:r w:rsidR="00FC4034" w:rsidRPr="008642FA">
        <w:rPr>
          <w:b/>
          <w:bCs/>
          <w:lang w:val="pt-BR"/>
        </w:rPr>
        <w:t>:</w:t>
      </w:r>
      <w:r w:rsidRPr="008642FA">
        <w:rPr>
          <w:lang w:val="pt-BR"/>
        </w:rPr>
        <w:t xml:space="preserve"> Fratura sem predominância maior que 75% de qualquer tipo de falha;</w:t>
      </w:r>
    </w:p>
    <w:p w:rsidR="00256E45" w:rsidRPr="008642FA" w:rsidRDefault="00F647E6" w:rsidP="00C77CF0">
      <w:pPr>
        <w:pStyle w:val="Default"/>
        <w:numPr>
          <w:ilvl w:val="0"/>
          <w:numId w:val="2"/>
        </w:numPr>
        <w:spacing w:line="480" w:lineRule="auto"/>
        <w:jc w:val="both"/>
        <w:rPr>
          <w:lang w:val="pt-BR"/>
        </w:rPr>
      </w:pPr>
      <w:r w:rsidRPr="008642FA">
        <w:rPr>
          <w:b/>
          <w:bCs/>
          <w:lang w:val="pt-BR"/>
        </w:rPr>
        <w:t>Coesiva no substrato dental</w:t>
      </w:r>
      <w:r w:rsidR="00FC4034" w:rsidRPr="008642FA">
        <w:rPr>
          <w:b/>
          <w:bCs/>
          <w:lang w:val="pt-BR"/>
        </w:rPr>
        <w:t>:</w:t>
      </w:r>
      <w:r w:rsidRPr="008642FA">
        <w:rPr>
          <w:lang w:val="pt-BR"/>
        </w:rPr>
        <w:t xml:space="preserve"> Fratura predominantemente (cerca de 75%) no interior da estrutura dental; </w:t>
      </w:r>
    </w:p>
    <w:p w:rsidR="00256E45" w:rsidRPr="008642FA" w:rsidRDefault="00F647E6" w:rsidP="00C77CF0">
      <w:pPr>
        <w:pStyle w:val="Default"/>
        <w:numPr>
          <w:ilvl w:val="0"/>
          <w:numId w:val="2"/>
        </w:numPr>
        <w:spacing w:line="480" w:lineRule="auto"/>
        <w:jc w:val="both"/>
        <w:rPr>
          <w:lang w:val="pt-BR"/>
        </w:rPr>
      </w:pPr>
      <w:r w:rsidRPr="008642FA">
        <w:rPr>
          <w:b/>
          <w:bCs/>
          <w:lang w:val="pt-BR"/>
        </w:rPr>
        <w:lastRenderedPageBreak/>
        <w:t>Coesiva em resina</w:t>
      </w:r>
      <w:r w:rsidR="00FC4034" w:rsidRPr="008642FA">
        <w:rPr>
          <w:b/>
          <w:bCs/>
          <w:lang w:val="pt-BR"/>
        </w:rPr>
        <w:t>:</w:t>
      </w:r>
      <w:r w:rsidRPr="008642FA">
        <w:rPr>
          <w:lang w:val="pt-BR"/>
        </w:rPr>
        <w:t xml:space="preserve"> Fratura predominantemente (cerca de 75%) no interior da resina composta.</w:t>
      </w:r>
    </w:p>
    <w:p w:rsidR="00256E45" w:rsidRPr="008642FA" w:rsidRDefault="00256E45" w:rsidP="00C77CF0">
      <w:pPr>
        <w:pStyle w:val="Default"/>
        <w:spacing w:line="480" w:lineRule="auto"/>
        <w:jc w:val="both"/>
        <w:rPr>
          <w:lang w:val="pt-BR"/>
        </w:rPr>
      </w:pPr>
    </w:p>
    <w:p w:rsidR="00256E45" w:rsidRPr="008642FA" w:rsidRDefault="00F647E6" w:rsidP="00C77CF0">
      <w:pPr>
        <w:pStyle w:val="Default"/>
        <w:spacing w:line="480" w:lineRule="auto"/>
        <w:jc w:val="both"/>
        <w:rPr>
          <w:lang w:val="pt-BR"/>
        </w:rPr>
      </w:pPr>
      <w:r w:rsidRPr="008642FA">
        <w:rPr>
          <w:lang w:val="pt-BR"/>
        </w:rPr>
        <w:tab/>
        <w:t xml:space="preserve">Os dados resultantes de fraturas coesivas em resina ou estrutura dental foram desprezados, sendo utilizados apenas os dados das fraturas adesivas e mistas. Para as falhas pré-teste adesivas, foi considerado o </w:t>
      </w:r>
      <w:r w:rsidRPr="008642FA">
        <w:rPr>
          <w:color w:val="00000A"/>
          <w:lang w:val="pt-BR"/>
        </w:rPr>
        <w:t xml:space="preserve">menor valor do grupo obtido, para obter uma normalidade entre os resultados </w:t>
      </w:r>
      <w:r w:rsidRPr="008642FA">
        <w:rPr>
          <w:lang w:val="pt-BR"/>
        </w:rPr>
        <w:t>[20].</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Os dados de resistência adesiva (MPa) foram analisados pelo teste da análise de variância (ANOVA) paramétrica e pelo  teste de Tukey, sendo adotado o nível de significância de 5% para a tomada de decisões.</w:t>
      </w:r>
    </w:p>
    <w:p w:rsidR="00AE734B" w:rsidRPr="008642FA" w:rsidRDefault="00AE734B" w:rsidP="00C77CF0">
      <w:pPr>
        <w:pStyle w:val="SemEspaamento"/>
        <w:spacing w:line="480" w:lineRule="auto"/>
        <w:ind w:firstLine="708"/>
        <w:jc w:val="both"/>
        <w:rPr>
          <w:rFonts w:ascii="Arial" w:hAnsi="Arial" w:cs="Arial"/>
          <w:b/>
          <w:sz w:val="24"/>
          <w:szCs w:val="24"/>
        </w:rPr>
      </w:pPr>
    </w:p>
    <w:p w:rsidR="00256E45" w:rsidRPr="008642FA" w:rsidRDefault="00F647E6" w:rsidP="00C77CF0">
      <w:pPr>
        <w:pStyle w:val="SemEspaamento"/>
        <w:spacing w:line="480" w:lineRule="auto"/>
        <w:jc w:val="both"/>
        <w:rPr>
          <w:rFonts w:ascii="Arial" w:hAnsi="Arial" w:cs="Arial"/>
          <w:b/>
          <w:sz w:val="24"/>
          <w:szCs w:val="24"/>
        </w:rPr>
      </w:pPr>
      <w:r w:rsidRPr="008642FA">
        <w:rPr>
          <w:rFonts w:ascii="Arial" w:hAnsi="Arial" w:cs="Arial"/>
          <w:b/>
          <w:sz w:val="24"/>
          <w:szCs w:val="24"/>
        </w:rPr>
        <w:t>RESULTADOS</w:t>
      </w:r>
    </w:p>
    <w:p w:rsidR="00256E45"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 xml:space="preserve">A tabela 1 mostra os valores de média e desvio-padrão de resistência de união (MPa) obtidos nos grupos que sofreram ciclagem térmica. </w:t>
      </w:r>
    </w:p>
    <w:p w:rsidR="00256E45" w:rsidRPr="008642FA" w:rsidRDefault="00256E45" w:rsidP="00C77CF0">
      <w:pPr>
        <w:pStyle w:val="SemEspaamento"/>
        <w:spacing w:line="360" w:lineRule="auto"/>
        <w:jc w:val="both"/>
        <w:rPr>
          <w:rFonts w:ascii="Arial" w:hAnsi="Arial" w:cs="Arial"/>
          <w:sz w:val="24"/>
          <w:szCs w:val="24"/>
        </w:rPr>
      </w:pPr>
    </w:p>
    <w:p w:rsidR="00256E45" w:rsidRPr="008642FA" w:rsidRDefault="00F647E6" w:rsidP="00C77CF0">
      <w:pPr>
        <w:pStyle w:val="SemEspaamento"/>
        <w:jc w:val="both"/>
        <w:rPr>
          <w:rFonts w:ascii="Arial" w:hAnsi="Arial" w:cs="Arial"/>
          <w:sz w:val="24"/>
          <w:szCs w:val="24"/>
        </w:rPr>
      </w:pPr>
      <w:r w:rsidRPr="008642FA">
        <w:rPr>
          <w:rFonts w:ascii="Arial" w:hAnsi="Arial" w:cs="Arial"/>
          <w:b/>
          <w:sz w:val="24"/>
          <w:szCs w:val="24"/>
        </w:rPr>
        <w:t>T</w:t>
      </w:r>
      <w:bookmarkStart w:id="0" w:name="__DdeLink__1529_1360795566"/>
      <w:r w:rsidRPr="008642FA">
        <w:rPr>
          <w:rFonts w:ascii="Arial" w:hAnsi="Arial" w:cs="Arial"/>
          <w:b/>
          <w:sz w:val="24"/>
          <w:szCs w:val="24"/>
        </w:rPr>
        <w:t>abela 1.</w:t>
      </w:r>
      <w:r w:rsidRPr="008642FA">
        <w:rPr>
          <w:rFonts w:ascii="Arial" w:hAnsi="Arial" w:cs="Arial"/>
          <w:sz w:val="24"/>
          <w:szCs w:val="24"/>
        </w:rPr>
        <w:t xml:space="preserve"> Análise</w:t>
      </w:r>
      <w:bookmarkEnd w:id="0"/>
      <w:r w:rsidRPr="008642FA">
        <w:rPr>
          <w:rFonts w:ascii="Arial" w:hAnsi="Arial" w:cs="Arial"/>
          <w:sz w:val="24"/>
          <w:szCs w:val="24"/>
        </w:rPr>
        <w:t xml:space="preserve"> descritiva para os diferentes grupos, em ordem decrescente quanto à resistência adesiva (MPa).</w:t>
      </w:r>
    </w:p>
    <w:tbl>
      <w:tblPr>
        <w:tblStyle w:val="ListaMdia11"/>
        <w:tblW w:w="8027" w:type="dxa"/>
        <w:jc w:val="center"/>
        <w:tblLook w:val="04A0"/>
      </w:tblPr>
      <w:tblGrid>
        <w:gridCol w:w="2125"/>
        <w:gridCol w:w="2661"/>
        <w:gridCol w:w="1709"/>
        <w:gridCol w:w="1532"/>
      </w:tblGrid>
      <w:tr w:rsidR="00256E45" w:rsidRPr="008642FA" w:rsidTr="00C77CF0">
        <w:trPr>
          <w:cnfStyle w:val="100000000000"/>
          <w:jc w:val="center"/>
        </w:trPr>
        <w:tc>
          <w:tcPr>
            <w:cnfStyle w:val="001000000000"/>
            <w:tcW w:w="2124" w:type="dxa"/>
            <w:tcBorders>
              <w:top w:val="single" w:sz="4" w:space="0" w:color="00000A"/>
            </w:tcBorders>
            <w:shd w:val="clear" w:color="auto" w:fill="auto"/>
            <w:vAlign w:val="center"/>
          </w:tcPr>
          <w:p w:rsidR="00256E45" w:rsidRPr="008642FA" w:rsidRDefault="00F647E6" w:rsidP="00C77CF0">
            <w:pPr>
              <w:spacing w:line="240" w:lineRule="auto"/>
              <w:jc w:val="center"/>
              <w:rPr>
                <w:rFonts w:ascii="Arial" w:hAnsi="Arial" w:cs="Arial"/>
                <w:sz w:val="24"/>
                <w:szCs w:val="24"/>
              </w:rPr>
            </w:pPr>
            <w:r w:rsidRPr="008642FA">
              <w:rPr>
                <w:rFonts w:ascii="Arial" w:hAnsi="Arial" w:cs="Arial"/>
                <w:sz w:val="24"/>
                <w:szCs w:val="24"/>
              </w:rPr>
              <w:t>Tratamento do Esmalte</w:t>
            </w:r>
          </w:p>
        </w:tc>
        <w:tc>
          <w:tcPr>
            <w:tcW w:w="2661" w:type="dxa"/>
            <w:tcBorders>
              <w:top w:val="single" w:sz="4" w:space="0" w:color="00000A"/>
            </w:tcBorders>
            <w:shd w:val="clear" w:color="auto" w:fill="auto"/>
            <w:vAlign w:val="center"/>
          </w:tcPr>
          <w:p w:rsidR="00256E45" w:rsidRPr="008642FA" w:rsidRDefault="00F647E6" w:rsidP="00C77CF0">
            <w:pPr>
              <w:spacing w:line="240" w:lineRule="auto"/>
              <w:jc w:val="center"/>
              <w:cnfStyle w:val="100000000000"/>
              <w:rPr>
                <w:rFonts w:ascii="Arial" w:hAnsi="Arial" w:cs="Arial"/>
                <w:sz w:val="24"/>
                <w:szCs w:val="24"/>
              </w:rPr>
            </w:pPr>
            <w:r w:rsidRPr="008642FA">
              <w:rPr>
                <w:rFonts w:ascii="Arial" w:hAnsi="Arial" w:cs="Arial"/>
                <w:sz w:val="24"/>
                <w:szCs w:val="24"/>
              </w:rPr>
              <w:t>Tipo de Adesivo</w:t>
            </w:r>
          </w:p>
        </w:tc>
        <w:tc>
          <w:tcPr>
            <w:tcW w:w="1709" w:type="dxa"/>
            <w:tcBorders>
              <w:top w:val="single" w:sz="4" w:space="0" w:color="00000A"/>
            </w:tcBorders>
            <w:shd w:val="clear" w:color="auto" w:fill="auto"/>
            <w:vAlign w:val="center"/>
          </w:tcPr>
          <w:p w:rsidR="00256E45" w:rsidRPr="008642FA" w:rsidRDefault="00F647E6" w:rsidP="00C77CF0">
            <w:pPr>
              <w:spacing w:line="240" w:lineRule="auto"/>
              <w:jc w:val="both"/>
              <w:cnfStyle w:val="100000000000"/>
              <w:rPr>
                <w:rFonts w:ascii="Arial" w:hAnsi="Arial" w:cs="Arial"/>
                <w:sz w:val="24"/>
                <w:szCs w:val="24"/>
              </w:rPr>
            </w:pPr>
            <w:r w:rsidRPr="008642FA">
              <w:rPr>
                <w:rFonts w:ascii="Arial" w:hAnsi="Arial" w:cs="Arial"/>
                <w:sz w:val="24"/>
                <w:szCs w:val="24"/>
              </w:rPr>
              <w:t>Média (Mpa)</w:t>
            </w:r>
          </w:p>
        </w:tc>
        <w:tc>
          <w:tcPr>
            <w:tcW w:w="1532" w:type="dxa"/>
            <w:tcBorders>
              <w:top w:val="single" w:sz="4" w:space="0" w:color="00000A"/>
            </w:tcBorders>
            <w:shd w:val="clear" w:color="auto" w:fill="auto"/>
            <w:vAlign w:val="center"/>
          </w:tcPr>
          <w:p w:rsidR="00256E45" w:rsidRPr="008642FA" w:rsidRDefault="00F647E6" w:rsidP="00C77CF0">
            <w:pPr>
              <w:spacing w:line="240" w:lineRule="auto"/>
              <w:jc w:val="both"/>
              <w:cnfStyle w:val="100000000000"/>
              <w:rPr>
                <w:rFonts w:ascii="Arial" w:hAnsi="Arial" w:cs="Arial"/>
                <w:sz w:val="24"/>
                <w:szCs w:val="24"/>
              </w:rPr>
            </w:pPr>
            <w:r w:rsidRPr="008642FA">
              <w:rPr>
                <w:rFonts w:ascii="Arial" w:hAnsi="Arial" w:cs="Arial"/>
                <w:sz w:val="24"/>
                <w:szCs w:val="24"/>
              </w:rPr>
              <w:t>D-P</w:t>
            </w:r>
          </w:p>
        </w:tc>
      </w:tr>
      <w:tr w:rsidR="00256E45" w:rsidRPr="008642FA" w:rsidTr="00C77CF0">
        <w:trPr>
          <w:cnfStyle w:val="000000100000"/>
          <w:jc w:val="center"/>
        </w:trPr>
        <w:tc>
          <w:tcPr>
            <w:cnfStyle w:val="001000000000"/>
            <w:tcW w:w="2124" w:type="dxa"/>
            <w:tcBorders>
              <w:top w:val="nil"/>
              <w:bottom w:val="nil"/>
            </w:tcBorders>
            <w:vAlign w:val="center"/>
          </w:tcPr>
          <w:p w:rsidR="00256E45" w:rsidRPr="008642FA" w:rsidRDefault="00F647E6" w:rsidP="00C77CF0">
            <w:pPr>
              <w:spacing w:line="240" w:lineRule="auto"/>
              <w:jc w:val="both"/>
              <w:rPr>
                <w:rFonts w:ascii="Arial" w:hAnsi="Arial" w:cs="Arial"/>
                <w:sz w:val="24"/>
                <w:szCs w:val="24"/>
              </w:rPr>
            </w:pPr>
            <w:r w:rsidRPr="008642FA">
              <w:rPr>
                <w:rFonts w:ascii="Arial" w:hAnsi="Arial" w:cs="Arial"/>
                <w:sz w:val="24"/>
                <w:szCs w:val="24"/>
              </w:rPr>
              <w:t>ICON</w:t>
            </w:r>
          </w:p>
        </w:tc>
        <w:tc>
          <w:tcPr>
            <w:tcW w:w="2661" w:type="dxa"/>
            <w:tcBorders>
              <w:top w:val="nil"/>
              <w:bottom w:val="nil"/>
            </w:tcBorders>
            <w:vAlign w:val="center"/>
          </w:tcPr>
          <w:p w:rsidR="00256E45" w:rsidRPr="008642FA" w:rsidRDefault="00F647E6" w:rsidP="00C77CF0">
            <w:pPr>
              <w:spacing w:line="240" w:lineRule="auto"/>
              <w:jc w:val="both"/>
              <w:cnfStyle w:val="000000100000"/>
              <w:rPr>
                <w:rFonts w:ascii="Arial" w:hAnsi="Arial" w:cs="Arial"/>
                <w:sz w:val="24"/>
                <w:szCs w:val="24"/>
              </w:rPr>
            </w:pPr>
            <w:r w:rsidRPr="008642FA">
              <w:rPr>
                <w:rFonts w:ascii="Arial" w:hAnsi="Arial" w:cs="Arial"/>
                <w:sz w:val="24"/>
                <w:szCs w:val="24"/>
              </w:rPr>
              <w:t>Clearfil S3 Bond</w:t>
            </w:r>
          </w:p>
        </w:tc>
        <w:tc>
          <w:tcPr>
            <w:tcW w:w="1709" w:type="dxa"/>
            <w:tcBorders>
              <w:top w:val="nil"/>
              <w:bottom w:val="nil"/>
            </w:tcBorders>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27,00</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color w:val="000000"/>
                      <w:sz w:val="24"/>
                      <w:szCs w:val="24"/>
                    </w:rPr>
                  </w:pPr>
                </w:p>
              </w:tc>
            </w:tr>
          </w:tbl>
          <w:p w:rsidR="00256E45" w:rsidRPr="008642FA" w:rsidRDefault="00256E45" w:rsidP="00C77CF0">
            <w:pPr>
              <w:spacing w:line="240" w:lineRule="auto"/>
              <w:jc w:val="both"/>
              <w:cnfStyle w:val="000000100000"/>
              <w:rPr>
                <w:rFonts w:ascii="Arial" w:hAnsi="Arial" w:cs="Arial"/>
                <w:sz w:val="24"/>
                <w:szCs w:val="24"/>
              </w:rPr>
            </w:pPr>
          </w:p>
        </w:tc>
        <w:tc>
          <w:tcPr>
            <w:tcW w:w="1532" w:type="dxa"/>
            <w:vAlign w:val="center"/>
          </w:tcPr>
          <w:p w:rsidR="00256E45" w:rsidRPr="008642FA" w:rsidRDefault="00F647E6" w:rsidP="00C77CF0">
            <w:pPr>
              <w:spacing w:line="240" w:lineRule="auto"/>
              <w:jc w:val="both"/>
              <w:cnfStyle w:val="000000100000"/>
              <w:rPr>
                <w:rFonts w:ascii="Arial" w:hAnsi="Arial" w:cs="Arial"/>
                <w:sz w:val="24"/>
                <w:szCs w:val="24"/>
              </w:rPr>
            </w:pPr>
            <w:r w:rsidRPr="008642FA">
              <w:rPr>
                <w:rFonts w:ascii="Arial" w:hAnsi="Arial" w:cs="Arial"/>
                <w:sz w:val="24"/>
                <w:szCs w:val="24"/>
              </w:rPr>
              <w:t>±1,76</w:t>
            </w:r>
          </w:p>
        </w:tc>
      </w:tr>
      <w:tr w:rsidR="00256E45" w:rsidRPr="008642FA" w:rsidTr="00C77CF0">
        <w:trPr>
          <w:jc w:val="center"/>
        </w:trPr>
        <w:tc>
          <w:tcPr>
            <w:cnfStyle w:val="001000000000"/>
            <w:tcW w:w="2124" w:type="dxa"/>
            <w:shd w:val="clear" w:color="auto" w:fill="auto"/>
            <w:vAlign w:val="center"/>
          </w:tcPr>
          <w:p w:rsidR="00256E45" w:rsidRPr="008642FA" w:rsidRDefault="00F647E6" w:rsidP="00C77CF0">
            <w:pPr>
              <w:spacing w:line="240" w:lineRule="auto"/>
              <w:jc w:val="both"/>
              <w:rPr>
                <w:rFonts w:ascii="Arial" w:hAnsi="Arial" w:cs="Arial"/>
                <w:sz w:val="24"/>
                <w:szCs w:val="24"/>
              </w:rPr>
            </w:pPr>
            <w:r w:rsidRPr="008642FA">
              <w:rPr>
                <w:rFonts w:ascii="Arial" w:hAnsi="Arial" w:cs="Arial"/>
                <w:sz w:val="24"/>
                <w:szCs w:val="24"/>
              </w:rPr>
              <w:t>Controle</w:t>
            </w:r>
          </w:p>
        </w:tc>
        <w:tc>
          <w:tcPr>
            <w:tcW w:w="2661" w:type="dxa"/>
            <w:shd w:val="clear" w:color="auto" w:fill="auto"/>
            <w:vAlign w:val="center"/>
          </w:tcPr>
          <w:p w:rsidR="00256E45" w:rsidRPr="008642FA" w:rsidRDefault="00F647E6" w:rsidP="00C77CF0">
            <w:pPr>
              <w:spacing w:line="240" w:lineRule="auto"/>
              <w:jc w:val="both"/>
              <w:cnfStyle w:val="000000000000"/>
              <w:rPr>
                <w:rFonts w:ascii="Arial" w:hAnsi="Arial" w:cs="Arial"/>
                <w:sz w:val="24"/>
                <w:szCs w:val="24"/>
              </w:rPr>
            </w:pPr>
            <w:r w:rsidRPr="008642FA">
              <w:rPr>
                <w:rFonts w:ascii="Arial" w:hAnsi="Arial" w:cs="Arial"/>
                <w:sz w:val="24"/>
                <w:szCs w:val="24"/>
              </w:rPr>
              <w:t>Single Bond Universal</w:t>
            </w:r>
          </w:p>
        </w:tc>
        <w:tc>
          <w:tcPr>
            <w:tcW w:w="1709" w:type="dxa"/>
            <w:shd w:val="clear" w:color="auto" w:fill="auto"/>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26,26</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color w:val="000000"/>
                      <w:sz w:val="24"/>
                      <w:szCs w:val="24"/>
                    </w:rPr>
                  </w:pPr>
                </w:p>
              </w:tc>
            </w:tr>
          </w:tbl>
          <w:p w:rsidR="00256E45" w:rsidRPr="008642FA" w:rsidRDefault="00256E45" w:rsidP="00C77CF0">
            <w:pPr>
              <w:spacing w:line="240" w:lineRule="auto"/>
              <w:jc w:val="both"/>
              <w:cnfStyle w:val="000000000000"/>
              <w:rPr>
                <w:rFonts w:ascii="Arial" w:hAnsi="Arial" w:cs="Arial"/>
                <w:sz w:val="24"/>
                <w:szCs w:val="24"/>
              </w:rPr>
            </w:pPr>
          </w:p>
        </w:tc>
        <w:tc>
          <w:tcPr>
            <w:tcW w:w="1532" w:type="dxa"/>
            <w:shd w:val="clear" w:color="auto" w:fill="auto"/>
            <w:vAlign w:val="center"/>
          </w:tcPr>
          <w:p w:rsidR="00256E45" w:rsidRPr="008642FA" w:rsidRDefault="00F647E6" w:rsidP="00C77CF0">
            <w:pPr>
              <w:spacing w:line="240" w:lineRule="auto"/>
              <w:jc w:val="both"/>
              <w:cnfStyle w:val="000000000000"/>
              <w:rPr>
                <w:rFonts w:ascii="Arial" w:hAnsi="Arial" w:cs="Arial"/>
                <w:sz w:val="24"/>
                <w:szCs w:val="24"/>
              </w:rPr>
            </w:pPr>
            <w:r w:rsidRPr="008642FA">
              <w:rPr>
                <w:rFonts w:ascii="Arial" w:hAnsi="Arial" w:cs="Arial"/>
                <w:sz w:val="24"/>
                <w:szCs w:val="24"/>
              </w:rPr>
              <w:t>±3,19</w:t>
            </w:r>
          </w:p>
        </w:tc>
      </w:tr>
      <w:tr w:rsidR="00256E45" w:rsidRPr="008642FA" w:rsidTr="00C77CF0">
        <w:trPr>
          <w:cnfStyle w:val="000000100000"/>
          <w:jc w:val="center"/>
        </w:trPr>
        <w:tc>
          <w:tcPr>
            <w:cnfStyle w:val="001000000000"/>
            <w:tcW w:w="2124" w:type="dxa"/>
            <w:vAlign w:val="center"/>
          </w:tcPr>
          <w:p w:rsidR="00256E45" w:rsidRPr="008642FA" w:rsidRDefault="00F647E6" w:rsidP="00C77CF0">
            <w:pPr>
              <w:spacing w:line="240" w:lineRule="auto"/>
              <w:jc w:val="both"/>
              <w:rPr>
                <w:rFonts w:ascii="Arial" w:hAnsi="Arial" w:cs="Arial"/>
                <w:sz w:val="24"/>
                <w:szCs w:val="24"/>
              </w:rPr>
            </w:pPr>
            <w:r w:rsidRPr="008642FA">
              <w:rPr>
                <w:rFonts w:ascii="Arial" w:hAnsi="Arial" w:cs="Arial"/>
                <w:sz w:val="24"/>
                <w:szCs w:val="24"/>
              </w:rPr>
              <w:t>ICON</w:t>
            </w:r>
          </w:p>
        </w:tc>
        <w:tc>
          <w:tcPr>
            <w:tcW w:w="2661" w:type="dxa"/>
            <w:vAlign w:val="center"/>
          </w:tcPr>
          <w:p w:rsidR="00256E45" w:rsidRPr="008642FA" w:rsidRDefault="00F647E6" w:rsidP="00C77CF0">
            <w:pPr>
              <w:spacing w:line="240" w:lineRule="auto"/>
              <w:jc w:val="both"/>
              <w:cnfStyle w:val="000000100000"/>
              <w:rPr>
                <w:rFonts w:ascii="Arial" w:hAnsi="Arial" w:cs="Arial"/>
                <w:sz w:val="24"/>
                <w:szCs w:val="24"/>
              </w:rPr>
            </w:pPr>
            <w:r w:rsidRPr="008642FA">
              <w:rPr>
                <w:rFonts w:ascii="Arial" w:hAnsi="Arial" w:cs="Arial"/>
                <w:sz w:val="24"/>
                <w:szCs w:val="24"/>
              </w:rPr>
              <w:t>Single Bond Universal</w:t>
            </w:r>
          </w:p>
        </w:tc>
        <w:tc>
          <w:tcPr>
            <w:tcW w:w="1709" w:type="dxa"/>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22,60</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color w:val="000000"/>
                      <w:sz w:val="24"/>
                      <w:szCs w:val="24"/>
                    </w:rPr>
                  </w:pPr>
                </w:p>
              </w:tc>
            </w:tr>
          </w:tbl>
          <w:p w:rsidR="00256E45" w:rsidRPr="008642FA" w:rsidRDefault="00256E45" w:rsidP="00C77CF0">
            <w:pPr>
              <w:spacing w:line="240" w:lineRule="auto"/>
              <w:jc w:val="both"/>
              <w:cnfStyle w:val="000000100000"/>
              <w:rPr>
                <w:rFonts w:ascii="Arial" w:hAnsi="Arial" w:cs="Arial"/>
                <w:sz w:val="24"/>
                <w:szCs w:val="24"/>
              </w:rPr>
            </w:pPr>
          </w:p>
        </w:tc>
        <w:tc>
          <w:tcPr>
            <w:tcW w:w="1532" w:type="dxa"/>
            <w:vAlign w:val="center"/>
          </w:tcPr>
          <w:p w:rsidR="00256E45" w:rsidRPr="008642FA" w:rsidRDefault="00F647E6" w:rsidP="00C77CF0">
            <w:pPr>
              <w:spacing w:line="240" w:lineRule="auto"/>
              <w:jc w:val="both"/>
              <w:cnfStyle w:val="000000100000"/>
              <w:rPr>
                <w:rFonts w:ascii="Arial" w:hAnsi="Arial" w:cs="Arial"/>
                <w:sz w:val="24"/>
                <w:szCs w:val="24"/>
              </w:rPr>
            </w:pPr>
            <w:r w:rsidRPr="008642FA">
              <w:rPr>
                <w:rFonts w:ascii="Arial" w:hAnsi="Arial" w:cs="Arial"/>
                <w:sz w:val="24"/>
                <w:szCs w:val="24"/>
              </w:rPr>
              <w:t>±2,29</w:t>
            </w:r>
          </w:p>
        </w:tc>
      </w:tr>
      <w:tr w:rsidR="00256E45" w:rsidRPr="008642FA" w:rsidTr="00C77CF0">
        <w:trPr>
          <w:jc w:val="center"/>
        </w:trPr>
        <w:tc>
          <w:tcPr>
            <w:cnfStyle w:val="001000000000"/>
            <w:tcW w:w="2124" w:type="dxa"/>
            <w:shd w:val="clear" w:color="auto" w:fill="auto"/>
            <w:vAlign w:val="center"/>
          </w:tcPr>
          <w:p w:rsidR="00256E45" w:rsidRPr="008642FA" w:rsidRDefault="00F647E6" w:rsidP="00C77CF0">
            <w:pPr>
              <w:spacing w:line="240" w:lineRule="auto"/>
              <w:jc w:val="both"/>
              <w:rPr>
                <w:rFonts w:ascii="Arial" w:hAnsi="Arial" w:cs="Arial"/>
                <w:sz w:val="24"/>
                <w:szCs w:val="24"/>
              </w:rPr>
            </w:pPr>
            <w:r w:rsidRPr="008642FA">
              <w:rPr>
                <w:rFonts w:ascii="Arial" w:hAnsi="Arial" w:cs="Arial"/>
                <w:sz w:val="24"/>
                <w:szCs w:val="24"/>
              </w:rPr>
              <w:t>Controle</w:t>
            </w:r>
          </w:p>
        </w:tc>
        <w:tc>
          <w:tcPr>
            <w:tcW w:w="2661" w:type="dxa"/>
            <w:shd w:val="clear" w:color="auto" w:fill="auto"/>
            <w:vAlign w:val="center"/>
          </w:tcPr>
          <w:p w:rsidR="00256E45" w:rsidRPr="008642FA" w:rsidRDefault="00F647E6" w:rsidP="00C77CF0">
            <w:pPr>
              <w:spacing w:line="240" w:lineRule="auto"/>
              <w:jc w:val="both"/>
              <w:cnfStyle w:val="000000000000"/>
              <w:rPr>
                <w:rFonts w:ascii="Arial" w:hAnsi="Arial" w:cs="Arial"/>
                <w:sz w:val="24"/>
                <w:szCs w:val="24"/>
              </w:rPr>
            </w:pPr>
            <w:r w:rsidRPr="008642FA">
              <w:rPr>
                <w:rFonts w:ascii="Arial" w:hAnsi="Arial" w:cs="Arial"/>
                <w:sz w:val="24"/>
                <w:szCs w:val="24"/>
              </w:rPr>
              <w:t>Clearfil S3 Bond</w:t>
            </w:r>
          </w:p>
        </w:tc>
        <w:tc>
          <w:tcPr>
            <w:tcW w:w="1709" w:type="dxa"/>
            <w:shd w:val="clear" w:color="auto" w:fill="auto"/>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17,17</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color w:val="000000"/>
                      <w:sz w:val="24"/>
                      <w:szCs w:val="24"/>
                    </w:rPr>
                  </w:pPr>
                </w:p>
              </w:tc>
            </w:tr>
          </w:tbl>
          <w:p w:rsidR="00256E45" w:rsidRPr="008642FA" w:rsidRDefault="00256E45" w:rsidP="00C77CF0">
            <w:pPr>
              <w:spacing w:line="240" w:lineRule="auto"/>
              <w:jc w:val="both"/>
              <w:cnfStyle w:val="000000000000"/>
              <w:rPr>
                <w:rFonts w:ascii="Arial" w:hAnsi="Arial" w:cs="Arial"/>
                <w:sz w:val="24"/>
                <w:szCs w:val="24"/>
              </w:rPr>
            </w:pPr>
          </w:p>
        </w:tc>
        <w:tc>
          <w:tcPr>
            <w:tcW w:w="1532" w:type="dxa"/>
            <w:shd w:val="clear" w:color="auto" w:fill="auto"/>
            <w:vAlign w:val="center"/>
          </w:tcPr>
          <w:p w:rsidR="00256E45" w:rsidRPr="008642FA" w:rsidRDefault="00F647E6" w:rsidP="00C77CF0">
            <w:pPr>
              <w:spacing w:line="240" w:lineRule="auto"/>
              <w:jc w:val="both"/>
              <w:cnfStyle w:val="000000000000"/>
              <w:rPr>
                <w:rFonts w:ascii="Arial" w:hAnsi="Arial" w:cs="Arial"/>
                <w:sz w:val="24"/>
                <w:szCs w:val="24"/>
              </w:rPr>
            </w:pPr>
            <w:r w:rsidRPr="008642FA">
              <w:rPr>
                <w:rFonts w:ascii="Arial" w:hAnsi="Arial" w:cs="Arial"/>
                <w:sz w:val="24"/>
                <w:szCs w:val="24"/>
              </w:rPr>
              <w:t>±3,52</w:t>
            </w:r>
          </w:p>
        </w:tc>
      </w:tr>
      <w:tr w:rsidR="00256E45" w:rsidRPr="008642FA" w:rsidTr="00C77CF0">
        <w:trPr>
          <w:cnfStyle w:val="000000100000"/>
          <w:jc w:val="center"/>
        </w:trPr>
        <w:tc>
          <w:tcPr>
            <w:cnfStyle w:val="001000000000"/>
            <w:tcW w:w="2124" w:type="dxa"/>
            <w:vAlign w:val="center"/>
          </w:tcPr>
          <w:p w:rsidR="00256E45" w:rsidRPr="008642FA" w:rsidRDefault="00F647E6" w:rsidP="00C77CF0">
            <w:pPr>
              <w:spacing w:line="240" w:lineRule="auto"/>
              <w:jc w:val="both"/>
              <w:rPr>
                <w:rFonts w:ascii="Arial" w:hAnsi="Arial" w:cs="Arial"/>
                <w:sz w:val="24"/>
                <w:szCs w:val="24"/>
              </w:rPr>
            </w:pPr>
            <w:r w:rsidRPr="008642FA">
              <w:rPr>
                <w:rFonts w:ascii="Arial" w:hAnsi="Arial" w:cs="Arial"/>
                <w:sz w:val="24"/>
                <w:szCs w:val="24"/>
              </w:rPr>
              <w:t>Flúor</w:t>
            </w:r>
          </w:p>
        </w:tc>
        <w:tc>
          <w:tcPr>
            <w:tcW w:w="2661" w:type="dxa"/>
            <w:vAlign w:val="center"/>
          </w:tcPr>
          <w:p w:rsidR="00256E45" w:rsidRPr="008642FA" w:rsidRDefault="00F647E6" w:rsidP="00C77CF0">
            <w:pPr>
              <w:spacing w:line="240" w:lineRule="auto"/>
              <w:jc w:val="both"/>
              <w:cnfStyle w:val="000000100000"/>
              <w:rPr>
                <w:rFonts w:ascii="Arial" w:hAnsi="Arial" w:cs="Arial"/>
                <w:sz w:val="24"/>
                <w:szCs w:val="24"/>
              </w:rPr>
            </w:pPr>
            <w:r w:rsidRPr="008642FA">
              <w:rPr>
                <w:rFonts w:ascii="Arial" w:hAnsi="Arial" w:cs="Arial"/>
                <w:sz w:val="24"/>
                <w:szCs w:val="24"/>
              </w:rPr>
              <w:t>Single Bond Universal</w:t>
            </w:r>
          </w:p>
        </w:tc>
        <w:tc>
          <w:tcPr>
            <w:tcW w:w="1709" w:type="dxa"/>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15,63</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color w:val="000000"/>
                      <w:sz w:val="24"/>
                      <w:szCs w:val="24"/>
                    </w:rPr>
                  </w:pPr>
                </w:p>
              </w:tc>
            </w:tr>
          </w:tbl>
          <w:p w:rsidR="00256E45" w:rsidRPr="008642FA" w:rsidRDefault="00256E45" w:rsidP="00C77CF0">
            <w:pPr>
              <w:spacing w:line="240" w:lineRule="auto"/>
              <w:jc w:val="both"/>
              <w:cnfStyle w:val="000000100000"/>
              <w:rPr>
                <w:rFonts w:ascii="Arial" w:hAnsi="Arial" w:cs="Arial"/>
                <w:sz w:val="24"/>
                <w:szCs w:val="24"/>
              </w:rPr>
            </w:pPr>
          </w:p>
        </w:tc>
        <w:tc>
          <w:tcPr>
            <w:tcW w:w="1532" w:type="dxa"/>
            <w:vAlign w:val="center"/>
          </w:tcPr>
          <w:p w:rsidR="00256E45" w:rsidRPr="008642FA" w:rsidRDefault="00F647E6" w:rsidP="00C77CF0">
            <w:pPr>
              <w:spacing w:line="240" w:lineRule="auto"/>
              <w:jc w:val="both"/>
              <w:cnfStyle w:val="000000100000"/>
              <w:rPr>
                <w:rFonts w:ascii="Arial" w:hAnsi="Arial" w:cs="Arial"/>
                <w:sz w:val="24"/>
                <w:szCs w:val="24"/>
              </w:rPr>
            </w:pPr>
            <w:r w:rsidRPr="008642FA">
              <w:rPr>
                <w:rFonts w:ascii="Arial" w:hAnsi="Arial" w:cs="Arial"/>
                <w:sz w:val="24"/>
                <w:szCs w:val="24"/>
              </w:rPr>
              <w:t>±1,25</w:t>
            </w:r>
          </w:p>
        </w:tc>
      </w:tr>
      <w:tr w:rsidR="00256E45" w:rsidRPr="008642FA" w:rsidTr="00C77CF0">
        <w:trPr>
          <w:jc w:val="center"/>
        </w:trPr>
        <w:tc>
          <w:tcPr>
            <w:cnfStyle w:val="001000000000"/>
            <w:tcW w:w="2124" w:type="dxa"/>
            <w:shd w:val="clear" w:color="auto" w:fill="auto"/>
            <w:vAlign w:val="center"/>
          </w:tcPr>
          <w:p w:rsidR="00256E45" w:rsidRPr="008642FA" w:rsidRDefault="00F647E6" w:rsidP="00C77CF0">
            <w:pPr>
              <w:spacing w:line="240" w:lineRule="auto"/>
              <w:jc w:val="both"/>
              <w:rPr>
                <w:rFonts w:ascii="Arial" w:hAnsi="Arial" w:cs="Arial"/>
                <w:color w:val="C0504D" w:themeColor="accent2"/>
                <w:sz w:val="24"/>
                <w:szCs w:val="24"/>
              </w:rPr>
            </w:pPr>
            <w:r w:rsidRPr="008642FA">
              <w:rPr>
                <w:rFonts w:ascii="Arial" w:hAnsi="Arial" w:cs="Arial"/>
                <w:sz w:val="24"/>
                <w:szCs w:val="24"/>
              </w:rPr>
              <w:t>Desmineralizado</w:t>
            </w:r>
          </w:p>
        </w:tc>
        <w:tc>
          <w:tcPr>
            <w:tcW w:w="2661" w:type="dxa"/>
            <w:shd w:val="clear" w:color="auto" w:fill="auto"/>
            <w:vAlign w:val="center"/>
          </w:tcPr>
          <w:p w:rsidR="00256E45" w:rsidRPr="008642FA" w:rsidRDefault="00F647E6" w:rsidP="00C77CF0">
            <w:pPr>
              <w:spacing w:line="240" w:lineRule="auto"/>
              <w:jc w:val="both"/>
              <w:cnfStyle w:val="000000000000"/>
              <w:rPr>
                <w:rFonts w:ascii="Arial" w:hAnsi="Arial" w:cs="Arial"/>
                <w:color w:val="C0504D" w:themeColor="accent2"/>
                <w:sz w:val="24"/>
                <w:szCs w:val="24"/>
              </w:rPr>
            </w:pPr>
            <w:r w:rsidRPr="008642FA">
              <w:rPr>
                <w:rFonts w:ascii="Arial" w:hAnsi="Arial" w:cs="Arial"/>
                <w:sz w:val="24"/>
                <w:szCs w:val="24"/>
              </w:rPr>
              <w:t>Clearfil S3 Bond</w:t>
            </w:r>
          </w:p>
        </w:tc>
        <w:tc>
          <w:tcPr>
            <w:tcW w:w="1709" w:type="dxa"/>
            <w:shd w:val="clear" w:color="auto" w:fill="auto"/>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sz w:val="24"/>
                      <w:szCs w:val="24"/>
                    </w:rPr>
                  </w:pPr>
                  <w:r w:rsidRPr="008642FA">
                    <w:rPr>
                      <w:rFonts w:ascii="Arial" w:eastAsia="Times New Roman" w:hAnsi="Arial" w:cs="Arial"/>
                      <w:color w:val="000000" w:themeColor="text1"/>
                      <w:sz w:val="24"/>
                      <w:szCs w:val="24"/>
                    </w:rPr>
                    <w:t>11,60</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sz w:val="24"/>
                      <w:szCs w:val="24"/>
                    </w:rPr>
                  </w:pPr>
                </w:p>
              </w:tc>
            </w:tr>
          </w:tbl>
          <w:p w:rsidR="00256E45" w:rsidRPr="008642FA" w:rsidRDefault="00256E45" w:rsidP="00C77CF0">
            <w:pPr>
              <w:spacing w:line="240" w:lineRule="auto"/>
              <w:jc w:val="both"/>
              <w:cnfStyle w:val="000000000000"/>
              <w:rPr>
                <w:rFonts w:ascii="Arial" w:hAnsi="Arial" w:cs="Arial"/>
                <w:color w:val="00000A"/>
                <w:sz w:val="24"/>
                <w:szCs w:val="24"/>
              </w:rPr>
            </w:pPr>
          </w:p>
        </w:tc>
        <w:tc>
          <w:tcPr>
            <w:tcW w:w="1532" w:type="dxa"/>
            <w:shd w:val="clear" w:color="auto" w:fill="auto"/>
            <w:vAlign w:val="center"/>
          </w:tcPr>
          <w:p w:rsidR="00256E45" w:rsidRPr="008642FA" w:rsidRDefault="00F647E6" w:rsidP="00C77CF0">
            <w:pPr>
              <w:spacing w:line="240" w:lineRule="auto"/>
              <w:jc w:val="both"/>
              <w:cnfStyle w:val="000000000000"/>
              <w:rPr>
                <w:rFonts w:ascii="Arial" w:hAnsi="Arial" w:cs="Arial"/>
                <w:color w:val="00000A"/>
                <w:sz w:val="24"/>
                <w:szCs w:val="24"/>
              </w:rPr>
            </w:pPr>
            <w:r w:rsidRPr="008642FA">
              <w:rPr>
                <w:rFonts w:ascii="Arial" w:hAnsi="Arial" w:cs="Arial"/>
                <w:color w:val="00000A"/>
                <w:sz w:val="24"/>
                <w:szCs w:val="24"/>
              </w:rPr>
              <w:t>±0,74</w:t>
            </w:r>
          </w:p>
        </w:tc>
      </w:tr>
      <w:tr w:rsidR="00256E45" w:rsidRPr="008642FA" w:rsidTr="00C77CF0">
        <w:trPr>
          <w:cnfStyle w:val="000000100000"/>
          <w:jc w:val="center"/>
        </w:trPr>
        <w:tc>
          <w:tcPr>
            <w:cnfStyle w:val="001000000000"/>
            <w:tcW w:w="2124" w:type="dxa"/>
            <w:vAlign w:val="center"/>
          </w:tcPr>
          <w:p w:rsidR="00256E45" w:rsidRPr="008642FA" w:rsidRDefault="00F647E6" w:rsidP="00C77CF0">
            <w:pPr>
              <w:spacing w:line="240" w:lineRule="auto"/>
              <w:jc w:val="both"/>
              <w:rPr>
                <w:rFonts w:ascii="Arial" w:hAnsi="Arial" w:cs="Arial"/>
                <w:color w:val="00000A"/>
                <w:sz w:val="24"/>
                <w:szCs w:val="24"/>
              </w:rPr>
            </w:pPr>
            <w:r w:rsidRPr="008642FA">
              <w:rPr>
                <w:rFonts w:ascii="Arial" w:hAnsi="Arial" w:cs="Arial"/>
                <w:color w:val="00000A"/>
                <w:sz w:val="24"/>
                <w:szCs w:val="24"/>
              </w:rPr>
              <w:t>Saliva</w:t>
            </w:r>
          </w:p>
        </w:tc>
        <w:tc>
          <w:tcPr>
            <w:tcW w:w="2661" w:type="dxa"/>
            <w:vAlign w:val="center"/>
          </w:tcPr>
          <w:p w:rsidR="00256E45" w:rsidRPr="008642FA" w:rsidRDefault="00F647E6" w:rsidP="00C77CF0">
            <w:pPr>
              <w:spacing w:line="240" w:lineRule="auto"/>
              <w:jc w:val="both"/>
              <w:cnfStyle w:val="000000100000"/>
              <w:rPr>
                <w:rFonts w:ascii="Arial" w:hAnsi="Arial" w:cs="Arial"/>
                <w:color w:val="00000A"/>
                <w:sz w:val="24"/>
                <w:szCs w:val="24"/>
              </w:rPr>
            </w:pPr>
            <w:r w:rsidRPr="008642FA">
              <w:rPr>
                <w:rFonts w:ascii="Arial" w:hAnsi="Arial" w:cs="Arial"/>
                <w:color w:val="00000A"/>
                <w:sz w:val="24"/>
                <w:szCs w:val="24"/>
              </w:rPr>
              <w:t>Single Bond Universal</w:t>
            </w:r>
          </w:p>
        </w:tc>
        <w:tc>
          <w:tcPr>
            <w:tcW w:w="1709" w:type="dxa"/>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sz w:val="24"/>
                      <w:szCs w:val="24"/>
                    </w:rPr>
                  </w:pPr>
                  <w:r w:rsidRPr="008642FA">
                    <w:rPr>
                      <w:rFonts w:ascii="Arial" w:eastAsia="Times New Roman" w:hAnsi="Arial" w:cs="Arial"/>
                      <w:color w:val="000000" w:themeColor="text1"/>
                      <w:sz w:val="24"/>
                      <w:szCs w:val="24"/>
                    </w:rPr>
                    <w:t>11,05</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sz w:val="24"/>
                      <w:szCs w:val="24"/>
                    </w:rPr>
                  </w:pPr>
                </w:p>
              </w:tc>
            </w:tr>
          </w:tbl>
          <w:p w:rsidR="00256E45" w:rsidRPr="008642FA" w:rsidRDefault="00256E45" w:rsidP="00C77CF0">
            <w:pPr>
              <w:spacing w:line="240" w:lineRule="auto"/>
              <w:jc w:val="both"/>
              <w:cnfStyle w:val="000000100000"/>
              <w:rPr>
                <w:rFonts w:ascii="Arial" w:hAnsi="Arial" w:cs="Arial"/>
                <w:color w:val="00000A"/>
                <w:sz w:val="24"/>
                <w:szCs w:val="24"/>
              </w:rPr>
            </w:pPr>
          </w:p>
        </w:tc>
        <w:tc>
          <w:tcPr>
            <w:tcW w:w="1532" w:type="dxa"/>
            <w:vAlign w:val="center"/>
          </w:tcPr>
          <w:p w:rsidR="00256E45" w:rsidRPr="008642FA" w:rsidRDefault="00F647E6" w:rsidP="00C77CF0">
            <w:pPr>
              <w:spacing w:line="240" w:lineRule="auto"/>
              <w:jc w:val="both"/>
              <w:cnfStyle w:val="000000100000"/>
              <w:rPr>
                <w:rFonts w:ascii="Arial" w:hAnsi="Arial" w:cs="Arial"/>
                <w:color w:val="00000A"/>
                <w:sz w:val="24"/>
                <w:szCs w:val="24"/>
              </w:rPr>
            </w:pPr>
            <w:r w:rsidRPr="008642FA">
              <w:rPr>
                <w:rFonts w:ascii="Arial" w:hAnsi="Arial" w:cs="Arial"/>
                <w:color w:val="00000A"/>
                <w:sz w:val="24"/>
                <w:szCs w:val="24"/>
              </w:rPr>
              <w:t>±1,74</w:t>
            </w:r>
          </w:p>
        </w:tc>
      </w:tr>
      <w:tr w:rsidR="00256E45" w:rsidRPr="008642FA" w:rsidTr="00C77CF0">
        <w:trPr>
          <w:jc w:val="center"/>
        </w:trPr>
        <w:tc>
          <w:tcPr>
            <w:cnfStyle w:val="001000000000"/>
            <w:tcW w:w="2124" w:type="dxa"/>
            <w:shd w:val="clear" w:color="auto" w:fill="auto"/>
            <w:vAlign w:val="center"/>
          </w:tcPr>
          <w:p w:rsidR="00256E45" w:rsidRPr="008642FA" w:rsidRDefault="00F647E6" w:rsidP="00C77CF0">
            <w:pPr>
              <w:spacing w:line="240" w:lineRule="auto"/>
              <w:jc w:val="both"/>
              <w:rPr>
                <w:rFonts w:ascii="Arial" w:hAnsi="Arial" w:cs="Arial"/>
                <w:sz w:val="24"/>
                <w:szCs w:val="24"/>
              </w:rPr>
            </w:pPr>
            <w:r w:rsidRPr="008642FA">
              <w:rPr>
                <w:rFonts w:ascii="Arial" w:hAnsi="Arial" w:cs="Arial"/>
                <w:sz w:val="24"/>
                <w:szCs w:val="24"/>
              </w:rPr>
              <w:t>Desmineralizado</w:t>
            </w:r>
          </w:p>
        </w:tc>
        <w:tc>
          <w:tcPr>
            <w:tcW w:w="2661" w:type="dxa"/>
            <w:shd w:val="clear" w:color="auto" w:fill="auto"/>
            <w:vAlign w:val="center"/>
          </w:tcPr>
          <w:p w:rsidR="00256E45" w:rsidRPr="008642FA" w:rsidRDefault="00F647E6" w:rsidP="00C77CF0">
            <w:pPr>
              <w:spacing w:line="240" w:lineRule="auto"/>
              <w:jc w:val="both"/>
              <w:cnfStyle w:val="000000000000"/>
              <w:rPr>
                <w:rFonts w:ascii="Arial" w:hAnsi="Arial" w:cs="Arial"/>
                <w:sz w:val="24"/>
                <w:szCs w:val="24"/>
              </w:rPr>
            </w:pPr>
            <w:r w:rsidRPr="008642FA">
              <w:rPr>
                <w:rFonts w:ascii="Arial" w:hAnsi="Arial" w:cs="Arial"/>
                <w:sz w:val="24"/>
                <w:szCs w:val="24"/>
              </w:rPr>
              <w:t>Single Bond Universal</w:t>
            </w:r>
          </w:p>
        </w:tc>
        <w:tc>
          <w:tcPr>
            <w:tcW w:w="1709" w:type="dxa"/>
            <w:shd w:val="clear" w:color="auto" w:fill="auto"/>
            <w:vAlign w:val="center"/>
          </w:tcPr>
          <w:tbl>
            <w:tblPr>
              <w:tblW w:w="1493" w:type="dxa"/>
              <w:tblLook w:val="04A0"/>
            </w:tblPr>
            <w:tblGrid>
              <w:gridCol w:w="1493"/>
            </w:tblGrid>
            <w:tr w:rsidR="00256E45" w:rsidRPr="008642FA">
              <w:trPr>
                <w:trHeight w:val="300"/>
              </w:trPr>
              <w:tc>
                <w:tcPr>
                  <w:tcW w:w="1493" w:type="dxa"/>
                  <w:shd w:val="clear" w:color="auto" w:fill="auto"/>
                  <w:vAlign w:val="bottom"/>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10,94</w:t>
                  </w:r>
                </w:p>
              </w:tc>
            </w:tr>
          </w:tbl>
          <w:p w:rsidR="00256E45" w:rsidRPr="008642FA" w:rsidRDefault="00256E45" w:rsidP="00C77CF0">
            <w:pPr>
              <w:spacing w:line="240" w:lineRule="auto"/>
              <w:jc w:val="both"/>
              <w:cnfStyle w:val="000000000000"/>
              <w:rPr>
                <w:rFonts w:ascii="Arial" w:hAnsi="Arial" w:cs="Arial"/>
                <w:sz w:val="24"/>
                <w:szCs w:val="24"/>
              </w:rPr>
            </w:pPr>
          </w:p>
        </w:tc>
        <w:tc>
          <w:tcPr>
            <w:tcW w:w="1532" w:type="dxa"/>
            <w:shd w:val="clear" w:color="auto" w:fill="auto"/>
            <w:vAlign w:val="center"/>
          </w:tcPr>
          <w:p w:rsidR="00256E45" w:rsidRPr="008642FA" w:rsidRDefault="00F647E6" w:rsidP="00C77CF0">
            <w:pPr>
              <w:spacing w:line="240" w:lineRule="auto"/>
              <w:jc w:val="both"/>
              <w:cnfStyle w:val="000000000000"/>
              <w:rPr>
                <w:rFonts w:ascii="Arial" w:hAnsi="Arial" w:cs="Arial"/>
                <w:sz w:val="24"/>
                <w:szCs w:val="24"/>
              </w:rPr>
            </w:pPr>
            <w:r w:rsidRPr="008642FA">
              <w:rPr>
                <w:rFonts w:ascii="Arial" w:hAnsi="Arial" w:cs="Arial"/>
                <w:sz w:val="24"/>
                <w:szCs w:val="24"/>
              </w:rPr>
              <w:t>±2,00</w:t>
            </w:r>
          </w:p>
        </w:tc>
      </w:tr>
      <w:tr w:rsidR="00256E45" w:rsidRPr="008642FA" w:rsidTr="00C77CF0">
        <w:trPr>
          <w:cnfStyle w:val="000000100000"/>
          <w:jc w:val="center"/>
        </w:trPr>
        <w:tc>
          <w:tcPr>
            <w:cnfStyle w:val="001000000000"/>
            <w:tcW w:w="2124" w:type="dxa"/>
            <w:vAlign w:val="center"/>
          </w:tcPr>
          <w:p w:rsidR="00256E45" w:rsidRPr="008642FA" w:rsidRDefault="00F647E6" w:rsidP="00C77CF0">
            <w:pPr>
              <w:spacing w:line="240" w:lineRule="auto"/>
              <w:jc w:val="both"/>
              <w:rPr>
                <w:rFonts w:ascii="Arial" w:hAnsi="Arial" w:cs="Arial"/>
                <w:sz w:val="24"/>
                <w:szCs w:val="24"/>
              </w:rPr>
            </w:pPr>
            <w:r w:rsidRPr="008642FA">
              <w:rPr>
                <w:rFonts w:ascii="Arial" w:hAnsi="Arial" w:cs="Arial"/>
                <w:sz w:val="24"/>
                <w:szCs w:val="24"/>
              </w:rPr>
              <w:t>Flúor</w:t>
            </w:r>
          </w:p>
        </w:tc>
        <w:tc>
          <w:tcPr>
            <w:tcW w:w="2661" w:type="dxa"/>
            <w:vAlign w:val="center"/>
          </w:tcPr>
          <w:p w:rsidR="00256E45" w:rsidRPr="008642FA" w:rsidRDefault="00F647E6" w:rsidP="00C77CF0">
            <w:pPr>
              <w:spacing w:line="240" w:lineRule="auto"/>
              <w:jc w:val="both"/>
              <w:cnfStyle w:val="000000100000"/>
              <w:rPr>
                <w:rFonts w:ascii="Arial" w:hAnsi="Arial" w:cs="Arial"/>
                <w:sz w:val="24"/>
                <w:szCs w:val="24"/>
              </w:rPr>
            </w:pPr>
            <w:r w:rsidRPr="008642FA">
              <w:rPr>
                <w:rFonts w:ascii="Arial" w:hAnsi="Arial" w:cs="Arial"/>
                <w:sz w:val="24"/>
                <w:szCs w:val="24"/>
              </w:rPr>
              <w:t>Clearfil S3 Bond</w:t>
            </w:r>
          </w:p>
        </w:tc>
        <w:tc>
          <w:tcPr>
            <w:tcW w:w="1709" w:type="dxa"/>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8,38</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color w:val="000000"/>
                      <w:sz w:val="24"/>
                      <w:szCs w:val="24"/>
                    </w:rPr>
                  </w:pPr>
                </w:p>
              </w:tc>
            </w:tr>
          </w:tbl>
          <w:p w:rsidR="00256E45" w:rsidRPr="008642FA" w:rsidRDefault="00256E45" w:rsidP="00C77CF0">
            <w:pPr>
              <w:spacing w:line="240" w:lineRule="auto"/>
              <w:jc w:val="both"/>
              <w:cnfStyle w:val="000000100000"/>
              <w:rPr>
                <w:rFonts w:ascii="Arial" w:hAnsi="Arial" w:cs="Arial"/>
                <w:sz w:val="24"/>
                <w:szCs w:val="24"/>
              </w:rPr>
            </w:pPr>
          </w:p>
        </w:tc>
        <w:tc>
          <w:tcPr>
            <w:tcW w:w="1532" w:type="dxa"/>
            <w:vAlign w:val="center"/>
          </w:tcPr>
          <w:p w:rsidR="00256E45" w:rsidRPr="008642FA" w:rsidRDefault="00F647E6" w:rsidP="00C77CF0">
            <w:pPr>
              <w:spacing w:line="240" w:lineRule="auto"/>
              <w:jc w:val="both"/>
              <w:cnfStyle w:val="000000100000"/>
              <w:rPr>
                <w:rFonts w:ascii="Arial" w:hAnsi="Arial" w:cs="Arial"/>
                <w:sz w:val="24"/>
                <w:szCs w:val="24"/>
              </w:rPr>
            </w:pPr>
            <w:r w:rsidRPr="008642FA">
              <w:rPr>
                <w:rFonts w:ascii="Arial" w:hAnsi="Arial" w:cs="Arial"/>
                <w:sz w:val="24"/>
                <w:szCs w:val="24"/>
              </w:rPr>
              <w:t>±1,59</w:t>
            </w:r>
          </w:p>
        </w:tc>
      </w:tr>
      <w:tr w:rsidR="00256E45" w:rsidRPr="008642FA" w:rsidTr="00C77CF0">
        <w:trPr>
          <w:jc w:val="center"/>
        </w:trPr>
        <w:tc>
          <w:tcPr>
            <w:cnfStyle w:val="001000000000"/>
            <w:tcW w:w="2124" w:type="dxa"/>
            <w:tcBorders>
              <w:bottom w:val="single" w:sz="8" w:space="0" w:color="000001"/>
            </w:tcBorders>
            <w:shd w:val="clear" w:color="auto" w:fill="auto"/>
            <w:vAlign w:val="center"/>
          </w:tcPr>
          <w:p w:rsidR="00256E45" w:rsidRPr="008642FA" w:rsidRDefault="00F647E6" w:rsidP="00C77CF0">
            <w:pPr>
              <w:spacing w:line="240" w:lineRule="auto"/>
              <w:jc w:val="both"/>
              <w:rPr>
                <w:rFonts w:ascii="Arial" w:hAnsi="Arial" w:cs="Arial"/>
                <w:sz w:val="24"/>
                <w:szCs w:val="24"/>
              </w:rPr>
            </w:pPr>
            <w:r w:rsidRPr="008642FA">
              <w:rPr>
                <w:rFonts w:ascii="Arial" w:hAnsi="Arial" w:cs="Arial"/>
                <w:sz w:val="24"/>
                <w:szCs w:val="24"/>
              </w:rPr>
              <w:t>Saliva</w:t>
            </w:r>
          </w:p>
        </w:tc>
        <w:tc>
          <w:tcPr>
            <w:tcW w:w="2661" w:type="dxa"/>
            <w:tcBorders>
              <w:bottom w:val="single" w:sz="8" w:space="0" w:color="000001"/>
            </w:tcBorders>
            <w:shd w:val="clear" w:color="auto" w:fill="auto"/>
            <w:vAlign w:val="center"/>
          </w:tcPr>
          <w:p w:rsidR="00256E45" w:rsidRPr="008642FA" w:rsidRDefault="00F647E6" w:rsidP="00C77CF0">
            <w:pPr>
              <w:spacing w:line="240" w:lineRule="auto"/>
              <w:jc w:val="both"/>
              <w:cnfStyle w:val="000000000000"/>
              <w:rPr>
                <w:rFonts w:ascii="Arial" w:hAnsi="Arial" w:cs="Arial"/>
                <w:sz w:val="24"/>
                <w:szCs w:val="24"/>
              </w:rPr>
            </w:pPr>
            <w:r w:rsidRPr="008642FA">
              <w:rPr>
                <w:rFonts w:ascii="Arial" w:hAnsi="Arial" w:cs="Arial"/>
                <w:sz w:val="24"/>
                <w:szCs w:val="24"/>
              </w:rPr>
              <w:t>Clearfil S3 Bond</w:t>
            </w:r>
          </w:p>
        </w:tc>
        <w:tc>
          <w:tcPr>
            <w:tcW w:w="1709" w:type="dxa"/>
            <w:tcBorders>
              <w:bottom w:val="single" w:sz="8" w:space="0" w:color="000001"/>
            </w:tcBorders>
            <w:shd w:val="clear" w:color="auto" w:fill="auto"/>
            <w:vAlign w:val="center"/>
          </w:tcPr>
          <w:tbl>
            <w:tblPr>
              <w:tblW w:w="1307" w:type="dxa"/>
              <w:tblLook w:val="04A0"/>
            </w:tblPr>
            <w:tblGrid>
              <w:gridCol w:w="1307"/>
            </w:tblGrid>
            <w:tr w:rsidR="00256E45" w:rsidRPr="008642FA">
              <w:trPr>
                <w:trHeight w:val="300"/>
              </w:trPr>
              <w:tc>
                <w:tcPr>
                  <w:tcW w:w="1307" w:type="dxa"/>
                  <w:shd w:val="clear" w:color="auto" w:fill="auto"/>
                  <w:vAlign w:val="bottom"/>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6,83</w:t>
                  </w:r>
                </w:p>
              </w:tc>
            </w:tr>
            <w:tr w:rsidR="00256E45" w:rsidRPr="008642FA">
              <w:trPr>
                <w:trHeight w:hRule="exact" w:val="23"/>
              </w:trPr>
              <w:tc>
                <w:tcPr>
                  <w:tcW w:w="1307" w:type="dxa"/>
                  <w:shd w:val="clear" w:color="auto" w:fill="auto"/>
                  <w:vAlign w:val="bottom"/>
                </w:tcPr>
                <w:p w:rsidR="00256E45" w:rsidRPr="008642FA" w:rsidRDefault="00256E45" w:rsidP="00C77CF0">
                  <w:pPr>
                    <w:spacing w:line="240" w:lineRule="auto"/>
                    <w:jc w:val="both"/>
                    <w:rPr>
                      <w:rFonts w:ascii="Arial" w:eastAsia="Times New Roman" w:hAnsi="Arial" w:cs="Arial"/>
                      <w:color w:val="000000"/>
                      <w:sz w:val="24"/>
                      <w:szCs w:val="24"/>
                    </w:rPr>
                  </w:pPr>
                </w:p>
              </w:tc>
            </w:tr>
          </w:tbl>
          <w:p w:rsidR="00256E45" w:rsidRPr="008642FA" w:rsidRDefault="00256E45" w:rsidP="00C77CF0">
            <w:pPr>
              <w:spacing w:line="240" w:lineRule="auto"/>
              <w:jc w:val="both"/>
              <w:cnfStyle w:val="000000000000"/>
              <w:rPr>
                <w:rFonts w:ascii="Arial" w:hAnsi="Arial" w:cs="Arial"/>
                <w:sz w:val="24"/>
                <w:szCs w:val="24"/>
              </w:rPr>
            </w:pPr>
          </w:p>
        </w:tc>
        <w:tc>
          <w:tcPr>
            <w:tcW w:w="1532" w:type="dxa"/>
            <w:tcBorders>
              <w:bottom w:val="single" w:sz="8" w:space="0" w:color="000001"/>
            </w:tcBorders>
            <w:shd w:val="clear" w:color="auto" w:fill="auto"/>
            <w:vAlign w:val="center"/>
          </w:tcPr>
          <w:p w:rsidR="00256E45" w:rsidRPr="008642FA" w:rsidRDefault="00F647E6" w:rsidP="00C77CF0">
            <w:pPr>
              <w:spacing w:line="240" w:lineRule="auto"/>
              <w:jc w:val="both"/>
              <w:cnfStyle w:val="000000000000"/>
              <w:rPr>
                <w:rFonts w:ascii="Arial" w:hAnsi="Arial" w:cs="Arial"/>
                <w:sz w:val="24"/>
                <w:szCs w:val="24"/>
              </w:rPr>
            </w:pPr>
            <w:r w:rsidRPr="008642FA">
              <w:rPr>
                <w:rFonts w:ascii="Arial" w:hAnsi="Arial" w:cs="Arial"/>
                <w:sz w:val="24"/>
                <w:szCs w:val="24"/>
              </w:rPr>
              <w:t>±1,87</w:t>
            </w:r>
          </w:p>
        </w:tc>
      </w:tr>
    </w:tbl>
    <w:p w:rsidR="00256E45" w:rsidRPr="008642FA" w:rsidRDefault="00256E45">
      <w:pPr>
        <w:pStyle w:val="SemEspaamento"/>
        <w:spacing w:line="360" w:lineRule="auto"/>
        <w:ind w:firstLine="708"/>
        <w:jc w:val="both"/>
        <w:rPr>
          <w:rFonts w:ascii="Arial" w:hAnsi="Arial" w:cs="Arial"/>
          <w:b/>
          <w:sz w:val="24"/>
          <w:szCs w:val="24"/>
        </w:rPr>
      </w:pPr>
    </w:p>
    <w:p w:rsidR="00256E45" w:rsidRPr="008642FA" w:rsidRDefault="00256E45">
      <w:pPr>
        <w:pStyle w:val="SemEspaamento"/>
        <w:spacing w:line="360" w:lineRule="auto"/>
        <w:ind w:firstLine="708"/>
        <w:jc w:val="both"/>
        <w:rPr>
          <w:rFonts w:ascii="Arial" w:hAnsi="Arial" w:cs="Arial"/>
          <w:b/>
          <w:sz w:val="24"/>
          <w:szCs w:val="24"/>
        </w:rPr>
      </w:pPr>
    </w:p>
    <w:p w:rsidR="00256E45" w:rsidRPr="008642FA" w:rsidRDefault="00F647E6" w:rsidP="00C77CF0">
      <w:pPr>
        <w:pStyle w:val="SemEspaamento"/>
        <w:spacing w:line="480" w:lineRule="auto"/>
        <w:ind w:firstLine="709"/>
        <w:jc w:val="both"/>
        <w:rPr>
          <w:rFonts w:ascii="Arial" w:hAnsi="Arial" w:cs="Arial"/>
          <w:sz w:val="24"/>
          <w:szCs w:val="24"/>
        </w:rPr>
      </w:pPr>
      <w:r w:rsidRPr="008642FA">
        <w:rPr>
          <w:rFonts w:ascii="Arial" w:hAnsi="Arial" w:cs="Arial"/>
          <w:sz w:val="24"/>
          <w:szCs w:val="24"/>
        </w:rPr>
        <w:t>Na tabela 1 pode-se observar que a maior média foi obtida pelo grupo Icon/Clearfil S3 (27,00±1,76) seguida pelo grupo Controle/Single Bond Universal (26,26 ±3,19). Enquanto os grupos Flúor/Clearfil S3 (8,38 ±1,59) e Saliva/Clearfil S3 (6,83 ±1,87) obtiveram as menores médias de resistência adesiva.</w:t>
      </w:r>
    </w:p>
    <w:p w:rsidR="00ED4B9B" w:rsidRPr="008642FA" w:rsidRDefault="00ED4B9B" w:rsidP="00C77CF0">
      <w:pPr>
        <w:pStyle w:val="SemEspaamento"/>
        <w:spacing w:line="480" w:lineRule="auto"/>
        <w:ind w:firstLine="709"/>
        <w:jc w:val="both"/>
        <w:rPr>
          <w:rFonts w:ascii="Arial" w:hAnsi="Arial" w:cs="Arial"/>
          <w:sz w:val="24"/>
          <w:szCs w:val="24"/>
        </w:rPr>
      </w:pPr>
      <w:r w:rsidRPr="008642FA">
        <w:rPr>
          <w:rFonts w:ascii="Arial" w:hAnsi="Arial" w:cs="Arial"/>
          <w:color w:val="000000"/>
          <w:sz w:val="24"/>
          <w:szCs w:val="24"/>
        </w:rPr>
        <w:t>Para avaliar a interação entre o Tratamento do Esmalte e o Sistema Adesivo os dados obtidos foram submetidos ao modelo estatístico da análise de variância (ANOVA) dois fatores.</w:t>
      </w:r>
    </w:p>
    <w:p w:rsidR="00256E45" w:rsidRPr="008642FA" w:rsidRDefault="00F647E6" w:rsidP="00C77CF0">
      <w:pPr>
        <w:pStyle w:val="SemEspaamento"/>
        <w:spacing w:line="480" w:lineRule="auto"/>
        <w:ind w:firstLine="709"/>
        <w:jc w:val="both"/>
        <w:rPr>
          <w:rFonts w:ascii="Arial" w:hAnsi="Arial" w:cs="Arial"/>
          <w:sz w:val="24"/>
          <w:szCs w:val="24"/>
        </w:rPr>
      </w:pPr>
      <w:r w:rsidRPr="008642FA">
        <w:rPr>
          <w:rFonts w:ascii="Arial" w:hAnsi="Arial" w:cs="Arial"/>
          <w:sz w:val="24"/>
          <w:szCs w:val="24"/>
        </w:rPr>
        <w:t>Na Tabela 2 observa-se os resultados do teste de ANOVA a dois fatores, verificando valor de p&lt;0,05 para todos fatores (α= 5%). Dessa forma constatou-se diferenças significativas para todos os fatores analisados.</w:t>
      </w:r>
    </w:p>
    <w:p w:rsidR="00256E45" w:rsidRDefault="00256E45">
      <w:pPr>
        <w:pStyle w:val="SemEspaamento"/>
        <w:spacing w:line="360" w:lineRule="auto"/>
        <w:ind w:firstLine="708"/>
        <w:jc w:val="both"/>
        <w:rPr>
          <w:rFonts w:ascii="Arial" w:hAnsi="Arial" w:cs="Arial"/>
          <w:sz w:val="24"/>
          <w:szCs w:val="24"/>
        </w:rPr>
      </w:pPr>
    </w:p>
    <w:p w:rsidR="00256E45" w:rsidRPr="008642FA" w:rsidRDefault="00F647E6" w:rsidP="007155E9">
      <w:pPr>
        <w:pStyle w:val="SemEspaamento"/>
        <w:spacing w:line="360" w:lineRule="auto"/>
        <w:jc w:val="center"/>
        <w:rPr>
          <w:rFonts w:ascii="Arial" w:hAnsi="Arial" w:cs="Arial"/>
          <w:sz w:val="24"/>
          <w:szCs w:val="24"/>
        </w:rPr>
      </w:pPr>
      <w:r w:rsidRPr="008642FA">
        <w:rPr>
          <w:rFonts w:ascii="Arial" w:hAnsi="Arial" w:cs="Arial"/>
          <w:b/>
          <w:sz w:val="24"/>
          <w:szCs w:val="24"/>
        </w:rPr>
        <w:t>Tabela 2.</w:t>
      </w:r>
      <w:r w:rsidRPr="008642FA">
        <w:rPr>
          <w:rFonts w:ascii="Arial" w:hAnsi="Arial" w:cs="Arial"/>
          <w:sz w:val="24"/>
          <w:szCs w:val="24"/>
        </w:rPr>
        <w:t xml:space="preserve"> Teste de análise de variância (ANOVA) a dois fatores</w:t>
      </w:r>
    </w:p>
    <w:tbl>
      <w:tblPr>
        <w:tblStyle w:val="SombreamentoClaro1"/>
        <w:tblW w:w="8135" w:type="dxa"/>
        <w:jc w:val="center"/>
        <w:tblLook w:val="04A0"/>
      </w:tblPr>
      <w:tblGrid>
        <w:gridCol w:w="3805"/>
        <w:gridCol w:w="1016"/>
        <w:gridCol w:w="1218"/>
        <w:gridCol w:w="1218"/>
        <w:gridCol w:w="878"/>
      </w:tblGrid>
      <w:tr w:rsidR="00256E45" w:rsidRPr="008642FA" w:rsidTr="00C77CF0">
        <w:trPr>
          <w:cnfStyle w:val="100000000000"/>
          <w:jc w:val="center"/>
        </w:trPr>
        <w:tc>
          <w:tcPr>
            <w:cnfStyle w:val="001000000000"/>
            <w:tcW w:w="3805" w:type="dxa"/>
            <w:shd w:val="clear" w:color="auto" w:fill="auto"/>
            <w:vAlign w:val="center"/>
          </w:tcPr>
          <w:p w:rsidR="00256E45" w:rsidRPr="008642FA" w:rsidRDefault="00F647E6" w:rsidP="00C77CF0">
            <w:pPr>
              <w:spacing w:after="0" w:line="240" w:lineRule="auto"/>
              <w:jc w:val="both"/>
              <w:rPr>
                <w:rFonts w:ascii="Arial" w:hAnsi="Arial" w:cs="Arial"/>
                <w:color w:val="000000"/>
                <w:sz w:val="24"/>
                <w:szCs w:val="24"/>
              </w:rPr>
            </w:pPr>
            <w:r w:rsidRPr="008642FA">
              <w:rPr>
                <w:rFonts w:ascii="Arial" w:hAnsi="Arial" w:cs="Arial"/>
                <w:color w:val="000000"/>
                <w:sz w:val="24"/>
                <w:szCs w:val="24"/>
              </w:rPr>
              <w:t>Fatores</w:t>
            </w:r>
          </w:p>
        </w:tc>
        <w:tc>
          <w:tcPr>
            <w:tcW w:w="1016" w:type="dxa"/>
            <w:shd w:val="clear" w:color="auto" w:fill="auto"/>
            <w:vAlign w:val="center"/>
          </w:tcPr>
          <w:p w:rsidR="00256E45" w:rsidRPr="008642FA" w:rsidRDefault="00F647E6" w:rsidP="00C77CF0">
            <w:pPr>
              <w:spacing w:after="0" w:line="240" w:lineRule="auto"/>
              <w:jc w:val="both"/>
              <w:cnfStyle w:val="100000000000"/>
              <w:rPr>
                <w:rFonts w:ascii="Arial" w:hAnsi="Arial" w:cs="Arial"/>
                <w:color w:val="000000"/>
                <w:sz w:val="24"/>
                <w:szCs w:val="24"/>
              </w:rPr>
            </w:pPr>
            <w:r w:rsidRPr="008642FA">
              <w:rPr>
                <w:rFonts w:ascii="Arial" w:hAnsi="Arial" w:cs="Arial"/>
                <w:color w:val="000000"/>
                <w:sz w:val="24"/>
                <w:szCs w:val="24"/>
              </w:rPr>
              <w:t>GL</w:t>
            </w:r>
          </w:p>
        </w:tc>
        <w:tc>
          <w:tcPr>
            <w:tcW w:w="1218" w:type="dxa"/>
            <w:shd w:val="clear" w:color="auto" w:fill="auto"/>
            <w:vAlign w:val="center"/>
          </w:tcPr>
          <w:p w:rsidR="00256E45" w:rsidRPr="008642FA" w:rsidRDefault="00F647E6" w:rsidP="00C77CF0">
            <w:pPr>
              <w:spacing w:after="0" w:line="240" w:lineRule="auto"/>
              <w:jc w:val="both"/>
              <w:cnfStyle w:val="100000000000"/>
              <w:rPr>
                <w:rFonts w:ascii="Arial" w:hAnsi="Arial" w:cs="Arial"/>
                <w:color w:val="000000"/>
                <w:sz w:val="24"/>
                <w:szCs w:val="24"/>
              </w:rPr>
            </w:pPr>
            <w:r w:rsidRPr="008642FA">
              <w:rPr>
                <w:rFonts w:ascii="Arial" w:hAnsi="Arial" w:cs="Arial"/>
                <w:color w:val="000000"/>
                <w:sz w:val="24"/>
                <w:szCs w:val="24"/>
              </w:rPr>
              <w:t>QM</w:t>
            </w:r>
          </w:p>
        </w:tc>
        <w:tc>
          <w:tcPr>
            <w:tcW w:w="1218" w:type="dxa"/>
            <w:shd w:val="clear" w:color="auto" w:fill="auto"/>
            <w:vAlign w:val="center"/>
          </w:tcPr>
          <w:p w:rsidR="00256E45" w:rsidRPr="008642FA" w:rsidRDefault="00F647E6" w:rsidP="00C77CF0">
            <w:pPr>
              <w:spacing w:after="0" w:line="240" w:lineRule="auto"/>
              <w:jc w:val="both"/>
              <w:cnfStyle w:val="100000000000"/>
              <w:rPr>
                <w:rFonts w:ascii="Arial" w:hAnsi="Arial" w:cs="Arial"/>
                <w:color w:val="000000"/>
                <w:sz w:val="24"/>
                <w:szCs w:val="24"/>
              </w:rPr>
            </w:pPr>
            <w:r w:rsidRPr="008642FA">
              <w:rPr>
                <w:rFonts w:ascii="Arial" w:hAnsi="Arial" w:cs="Arial"/>
                <w:color w:val="000000"/>
                <w:sz w:val="24"/>
                <w:szCs w:val="24"/>
              </w:rPr>
              <w:t>F</w:t>
            </w:r>
          </w:p>
        </w:tc>
        <w:tc>
          <w:tcPr>
            <w:tcW w:w="878" w:type="dxa"/>
            <w:shd w:val="clear" w:color="auto" w:fill="auto"/>
            <w:vAlign w:val="center"/>
          </w:tcPr>
          <w:p w:rsidR="00256E45" w:rsidRPr="008642FA" w:rsidRDefault="00F647E6" w:rsidP="00C77CF0">
            <w:pPr>
              <w:spacing w:after="0" w:line="240" w:lineRule="auto"/>
              <w:jc w:val="both"/>
              <w:cnfStyle w:val="100000000000"/>
              <w:rPr>
                <w:rFonts w:ascii="Arial" w:hAnsi="Arial" w:cs="Arial"/>
                <w:color w:val="000000"/>
                <w:sz w:val="24"/>
                <w:szCs w:val="24"/>
              </w:rPr>
            </w:pPr>
            <w:r w:rsidRPr="008642FA">
              <w:rPr>
                <w:rFonts w:ascii="Arial" w:hAnsi="Arial" w:cs="Arial"/>
                <w:color w:val="000000"/>
                <w:sz w:val="24"/>
                <w:szCs w:val="24"/>
              </w:rPr>
              <w:t>p</w:t>
            </w:r>
          </w:p>
        </w:tc>
      </w:tr>
      <w:tr w:rsidR="00256E45" w:rsidRPr="008642FA" w:rsidTr="00C77CF0">
        <w:trPr>
          <w:cnfStyle w:val="000000100000"/>
          <w:jc w:val="center"/>
        </w:trPr>
        <w:tc>
          <w:tcPr>
            <w:cnfStyle w:val="001000000000"/>
            <w:tcW w:w="3805" w:type="dxa"/>
            <w:tcBorders>
              <w:top w:val="nil"/>
              <w:bottom w:val="nil"/>
            </w:tcBorders>
            <w:vAlign w:val="center"/>
          </w:tcPr>
          <w:p w:rsidR="00256E45" w:rsidRPr="008642FA" w:rsidRDefault="00F647E6" w:rsidP="00C77CF0">
            <w:pPr>
              <w:spacing w:line="240" w:lineRule="auto"/>
              <w:jc w:val="both"/>
              <w:rPr>
                <w:rFonts w:ascii="Arial" w:hAnsi="Arial" w:cs="Arial"/>
                <w:color w:val="000000"/>
                <w:sz w:val="24"/>
                <w:szCs w:val="24"/>
              </w:rPr>
            </w:pPr>
            <w:r w:rsidRPr="008642FA">
              <w:rPr>
                <w:rFonts w:ascii="Arial" w:hAnsi="Arial" w:cs="Arial"/>
                <w:color w:val="000000"/>
                <w:sz w:val="24"/>
                <w:szCs w:val="24"/>
              </w:rPr>
              <w:t>Sistema Adesivo</w:t>
            </w:r>
          </w:p>
        </w:tc>
        <w:tc>
          <w:tcPr>
            <w:tcW w:w="1016" w:type="dxa"/>
            <w:tcBorders>
              <w:top w:val="nil"/>
              <w:bottom w:val="nil"/>
            </w:tcBorders>
            <w:vAlign w:val="center"/>
          </w:tcPr>
          <w:p w:rsidR="00256E45" w:rsidRPr="008642FA" w:rsidRDefault="00F647E6" w:rsidP="00C77CF0">
            <w:pPr>
              <w:spacing w:line="240" w:lineRule="auto"/>
              <w:jc w:val="both"/>
              <w:cnfStyle w:val="000000100000"/>
              <w:rPr>
                <w:rFonts w:ascii="Arial" w:hAnsi="Arial" w:cs="Arial"/>
                <w:color w:val="000000"/>
                <w:sz w:val="24"/>
                <w:szCs w:val="24"/>
              </w:rPr>
            </w:pPr>
            <w:r w:rsidRPr="008642FA">
              <w:rPr>
                <w:rFonts w:ascii="Arial" w:hAnsi="Arial" w:cs="Arial"/>
                <w:color w:val="000000"/>
                <w:sz w:val="24"/>
                <w:szCs w:val="24"/>
              </w:rPr>
              <w:t>1</w:t>
            </w:r>
          </w:p>
        </w:tc>
        <w:tc>
          <w:tcPr>
            <w:tcW w:w="1218" w:type="dxa"/>
            <w:tcBorders>
              <w:top w:val="nil"/>
              <w:bottom w:val="nil"/>
            </w:tcBorders>
            <w:vAlign w:val="center"/>
          </w:tcPr>
          <w:p w:rsidR="00256E45" w:rsidRPr="008642FA" w:rsidRDefault="00F647E6" w:rsidP="00C77CF0">
            <w:pPr>
              <w:spacing w:line="240" w:lineRule="auto"/>
              <w:jc w:val="both"/>
              <w:cnfStyle w:val="000000100000"/>
              <w:rPr>
                <w:rFonts w:ascii="Arial" w:hAnsi="Arial" w:cs="Arial"/>
                <w:color w:val="000000"/>
                <w:sz w:val="24"/>
                <w:szCs w:val="24"/>
              </w:rPr>
            </w:pPr>
            <w:r w:rsidRPr="008642FA">
              <w:rPr>
                <w:rFonts w:ascii="Arial" w:hAnsi="Arial" w:cs="Arial"/>
                <w:color w:val="000000"/>
                <w:sz w:val="24"/>
                <w:szCs w:val="24"/>
              </w:rPr>
              <w:t>288,02</w:t>
            </w:r>
          </w:p>
        </w:tc>
        <w:tc>
          <w:tcPr>
            <w:tcW w:w="1218" w:type="dxa"/>
            <w:tcBorders>
              <w:top w:val="nil"/>
              <w:bottom w:val="nil"/>
            </w:tcBorders>
            <w:vAlign w:val="center"/>
          </w:tcPr>
          <w:p w:rsidR="00256E45" w:rsidRPr="008642FA" w:rsidRDefault="00F647E6" w:rsidP="00C77CF0">
            <w:pPr>
              <w:spacing w:line="240" w:lineRule="auto"/>
              <w:jc w:val="both"/>
              <w:cnfStyle w:val="000000100000"/>
              <w:rPr>
                <w:rFonts w:ascii="Arial" w:hAnsi="Arial" w:cs="Arial"/>
                <w:color w:val="000000"/>
                <w:sz w:val="24"/>
                <w:szCs w:val="24"/>
              </w:rPr>
            </w:pPr>
            <w:r w:rsidRPr="008642FA">
              <w:rPr>
                <w:rFonts w:ascii="Arial" w:hAnsi="Arial" w:cs="Arial"/>
                <w:color w:val="000000"/>
                <w:sz w:val="24"/>
                <w:szCs w:val="24"/>
              </w:rPr>
              <w:t>78,58</w:t>
            </w:r>
          </w:p>
        </w:tc>
        <w:tc>
          <w:tcPr>
            <w:tcW w:w="878" w:type="dxa"/>
            <w:tcBorders>
              <w:top w:val="nil"/>
              <w:bottom w:val="nil"/>
            </w:tcBorders>
            <w:vAlign w:val="center"/>
          </w:tcPr>
          <w:p w:rsidR="00256E45" w:rsidRPr="008642FA" w:rsidRDefault="00F647E6" w:rsidP="00C77CF0">
            <w:pPr>
              <w:spacing w:line="240" w:lineRule="auto"/>
              <w:jc w:val="both"/>
              <w:cnfStyle w:val="000000100000"/>
              <w:rPr>
                <w:rFonts w:ascii="Arial" w:hAnsi="Arial" w:cs="Arial"/>
                <w:color w:val="000000"/>
                <w:sz w:val="24"/>
                <w:szCs w:val="24"/>
              </w:rPr>
            </w:pPr>
            <w:r w:rsidRPr="008642FA">
              <w:rPr>
                <w:rFonts w:ascii="Arial" w:hAnsi="Arial" w:cs="Arial"/>
                <w:color w:val="000000"/>
                <w:sz w:val="24"/>
                <w:szCs w:val="24"/>
              </w:rPr>
              <w:t>0,00*</w:t>
            </w:r>
          </w:p>
        </w:tc>
      </w:tr>
      <w:tr w:rsidR="00256E45" w:rsidRPr="008642FA" w:rsidTr="00C77CF0">
        <w:trPr>
          <w:jc w:val="center"/>
        </w:trPr>
        <w:tc>
          <w:tcPr>
            <w:cnfStyle w:val="001000000000"/>
            <w:tcW w:w="3805" w:type="dxa"/>
            <w:tcBorders>
              <w:top w:val="nil"/>
              <w:bottom w:val="nil"/>
            </w:tcBorders>
            <w:shd w:val="clear" w:color="auto" w:fill="auto"/>
            <w:vAlign w:val="center"/>
          </w:tcPr>
          <w:p w:rsidR="00256E45" w:rsidRPr="008642FA" w:rsidRDefault="00F647E6" w:rsidP="00C77CF0">
            <w:pPr>
              <w:spacing w:line="240" w:lineRule="auto"/>
              <w:jc w:val="both"/>
              <w:rPr>
                <w:rFonts w:ascii="Arial" w:hAnsi="Arial" w:cs="Arial"/>
                <w:color w:val="000000"/>
                <w:sz w:val="24"/>
                <w:szCs w:val="24"/>
              </w:rPr>
            </w:pPr>
            <w:r w:rsidRPr="008642FA">
              <w:rPr>
                <w:rFonts w:ascii="Arial" w:hAnsi="Arial" w:cs="Arial"/>
                <w:color w:val="000000"/>
                <w:sz w:val="24"/>
                <w:szCs w:val="24"/>
              </w:rPr>
              <w:t>Tratamento do Esmalte</w:t>
            </w:r>
          </w:p>
        </w:tc>
        <w:tc>
          <w:tcPr>
            <w:tcW w:w="1016" w:type="dxa"/>
            <w:tcBorders>
              <w:top w:val="nil"/>
              <w:bottom w:val="nil"/>
            </w:tcBorders>
            <w:shd w:val="clear" w:color="auto" w:fill="auto"/>
            <w:vAlign w:val="center"/>
          </w:tcPr>
          <w:p w:rsidR="00256E45" w:rsidRPr="008642FA" w:rsidRDefault="00F647E6" w:rsidP="00C77CF0">
            <w:pPr>
              <w:spacing w:line="240" w:lineRule="auto"/>
              <w:jc w:val="both"/>
              <w:cnfStyle w:val="000000000000"/>
              <w:rPr>
                <w:rFonts w:ascii="Arial" w:hAnsi="Arial" w:cs="Arial"/>
                <w:color w:val="000000"/>
                <w:sz w:val="24"/>
                <w:szCs w:val="24"/>
              </w:rPr>
            </w:pPr>
            <w:r w:rsidRPr="008642FA">
              <w:rPr>
                <w:rFonts w:ascii="Arial" w:hAnsi="Arial" w:cs="Arial"/>
                <w:color w:val="000000"/>
                <w:sz w:val="24"/>
                <w:szCs w:val="24"/>
              </w:rPr>
              <w:t>4</w:t>
            </w:r>
          </w:p>
        </w:tc>
        <w:tc>
          <w:tcPr>
            <w:tcW w:w="1218" w:type="dxa"/>
            <w:tcBorders>
              <w:top w:val="nil"/>
              <w:bottom w:val="nil"/>
            </w:tcBorders>
            <w:shd w:val="clear" w:color="auto" w:fill="auto"/>
            <w:vAlign w:val="center"/>
          </w:tcPr>
          <w:p w:rsidR="00256E45" w:rsidRPr="008642FA" w:rsidRDefault="00F647E6" w:rsidP="00C77CF0">
            <w:pPr>
              <w:spacing w:line="240" w:lineRule="auto"/>
              <w:jc w:val="both"/>
              <w:cnfStyle w:val="000000000000"/>
              <w:rPr>
                <w:rFonts w:ascii="Arial" w:hAnsi="Arial" w:cs="Arial"/>
                <w:color w:val="000000"/>
                <w:sz w:val="24"/>
                <w:szCs w:val="24"/>
              </w:rPr>
            </w:pPr>
            <w:r w:rsidRPr="008642FA">
              <w:rPr>
                <w:rFonts w:ascii="Arial" w:hAnsi="Arial" w:cs="Arial"/>
                <w:color w:val="000000"/>
                <w:sz w:val="24"/>
                <w:szCs w:val="24"/>
              </w:rPr>
              <w:t>1165,97</w:t>
            </w:r>
          </w:p>
        </w:tc>
        <w:tc>
          <w:tcPr>
            <w:tcW w:w="1218" w:type="dxa"/>
            <w:tcBorders>
              <w:top w:val="nil"/>
              <w:bottom w:val="nil"/>
            </w:tcBorders>
            <w:shd w:val="clear" w:color="auto" w:fill="auto"/>
            <w:vAlign w:val="center"/>
          </w:tcPr>
          <w:p w:rsidR="00256E45" w:rsidRPr="008642FA" w:rsidRDefault="00F647E6" w:rsidP="00C77CF0">
            <w:pPr>
              <w:spacing w:line="240" w:lineRule="auto"/>
              <w:jc w:val="both"/>
              <w:cnfStyle w:val="000000000000"/>
              <w:rPr>
                <w:rFonts w:ascii="Arial" w:hAnsi="Arial" w:cs="Arial"/>
                <w:color w:val="000000"/>
                <w:sz w:val="24"/>
                <w:szCs w:val="24"/>
              </w:rPr>
            </w:pPr>
            <w:r w:rsidRPr="008642FA">
              <w:rPr>
                <w:rFonts w:ascii="Arial" w:hAnsi="Arial" w:cs="Arial"/>
                <w:color w:val="000000"/>
                <w:sz w:val="24"/>
                <w:szCs w:val="24"/>
              </w:rPr>
              <w:t>318,14</w:t>
            </w:r>
          </w:p>
        </w:tc>
        <w:tc>
          <w:tcPr>
            <w:tcW w:w="878" w:type="dxa"/>
            <w:tcBorders>
              <w:top w:val="nil"/>
              <w:bottom w:val="nil"/>
            </w:tcBorders>
            <w:shd w:val="clear" w:color="auto" w:fill="auto"/>
            <w:vAlign w:val="center"/>
          </w:tcPr>
          <w:p w:rsidR="00256E45" w:rsidRPr="008642FA" w:rsidRDefault="00F647E6" w:rsidP="00C77CF0">
            <w:pPr>
              <w:spacing w:line="240" w:lineRule="auto"/>
              <w:jc w:val="both"/>
              <w:cnfStyle w:val="000000000000"/>
              <w:rPr>
                <w:rFonts w:ascii="Arial" w:hAnsi="Arial" w:cs="Arial"/>
                <w:color w:val="000000"/>
                <w:sz w:val="24"/>
                <w:szCs w:val="24"/>
              </w:rPr>
            </w:pPr>
            <w:r w:rsidRPr="008642FA">
              <w:rPr>
                <w:rFonts w:ascii="Arial" w:hAnsi="Arial" w:cs="Arial"/>
                <w:color w:val="000000"/>
                <w:sz w:val="24"/>
                <w:szCs w:val="24"/>
              </w:rPr>
              <w:t>0,00*</w:t>
            </w:r>
          </w:p>
        </w:tc>
      </w:tr>
      <w:tr w:rsidR="00256E45" w:rsidRPr="008642FA" w:rsidTr="00C77CF0">
        <w:trPr>
          <w:cnfStyle w:val="000000100000"/>
          <w:jc w:val="center"/>
        </w:trPr>
        <w:tc>
          <w:tcPr>
            <w:cnfStyle w:val="001000000000"/>
            <w:tcW w:w="3805" w:type="dxa"/>
            <w:tcBorders>
              <w:top w:val="nil"/>
            </w:tcBorders>
            <w:vAlign w:val="center"/>
          </w:tcPr>
          <w:p w:rsidR="00256E45" w:rsidRPr="008642FA" w:rsidRDefault="00F647E6" w:rsidP="00C77CF0">
            <w:pPr>
              <w:spacing w:line="240" w:lineRule="auto"/>
              <w:jc w:val="both"/>
              <w:rPr>
                <w:rFonts w:ascii="Arial" w:hAnsi="Arial" w:cs="Arial"/>
                <w:color w:val="000000"/>
                <w:sz w:val="24"/>
                <w:szCs w:val="24"/>
              </w:rPr>
            </w:pPr>
            <w:r w:rsidRPr="008642FA">
              <w:rPr>
                <w:rFonts w:ascii="Arial" w:hAnsi="Arial" w:cs="Arial"/>
                <w:color w:val="000000"/>
                <w:sz w:val="24"/>
                <w:szCs w:val="24"/>
              </w:rPr>
              <w:t>TratamentoXAdesivo</w:t>
            </w:r>
          </w:p>
        </w:tc>
        <w:tc>
          <w:tcPr>
            <w:tcW w:w="1016" w:type="dxa"/>
            <w:tcBorders>
              <w:top w:val="nil"/>
            </w:tcBorders>
            <w:vAlign w:val="center"/>
          </w:tcPr>
          <w:p w:rsidR="00256E45" w:rsidRPr="008642FA" w:rsidRDefault="00F647E6" w:rsidP="00C77CF0">
            <w:pPr>
              <w:spacing w:line="240" w:lineRule="auto"/>
              <w:jc w:val="both"/>
              <w:cnfStyle w:val="000000100000"/>
              <w:rPr>
                <w:rFonts w:ascii="Arial" w:hAnsi="Arial" w:cs="Arial"/>
                <w:color w:val="000000"/>
                <w:sz w:val="24"/>
                <w:szCs w:val="24"/>
              </w:rPr>
            </w:pPr>
            <w:r w:rsidRPr="008642FA">
              <w:rPr>
                <w:rFonts w:ascii="Arial" w:hAnsi="Arial" w:cs="Arial"/>
                <w:color w:val="000000"/>
                <w:sz w:val="24"/>
                <w:szCs w:val="24"/>
              </w:rPr>
              <w:t>4</w:t>
            </w:r>
          </w:p>
        </w:tc>
        <w:tc>
          <w:tcPr>
            <w:tcW w:w="1218" w:type="dxa"/>
            <w:tcBorders>
              <w:top w:val="nil"/>
            </w:tcBorders>
            <w:vAlign w:val="center"/>
          </w:tcPr>
          <w:p w:rsidR="00256E45" w:rsidRPr="008642FA" w:rsidRDefault="00F647E6" w:rsidP="00C77CF0">
            <w:pPr>
              <w:spacing w:line="240" w:lineRule="auto"/>
              <w:jc w:val="both"/>
              <w:cnfStyle w:val="000000100000"/>
              <w:rPr>
                <w:rFonts w:ascii="Arial" w:hAnsi="Arial" w:cs="Arial"/>
                <w:color w:val="000000"/>
                <w:sz w:val="24"/>
                <w:szCs w:val="24"/>
              </w:rPr>
            </w:pPr>
            <w:r w:rsidRPr="008642FA">
              <w:rPr>
                <w:rFonts w:ascii="Arial" w:hAnsi="Arial" w:cs="Arial"/>
                <w:color w:val="000000"/>
                <w:sz w:val="24"/>
                <w:szCs w:val="24"/>
              </w:rPr>
              <w:t>208,47</w:t>
            </w:r>
          </w:p>
        </w:tc>
        <w:tc>
          <w:tcPr>
            <w:tcW w:w="1218" w:type="dxa"/>
            <w:tcBorders>
              <w:top w:val="nil"/>
            </w:tcBorders>
            <w:vAlign w:val="center"/>
          </w:tcPr>
          <w:p w:rsidR="00256E45" w:rsidRPr="008642FA" w:rsidRDefault="00F647E6" w:rsidP="00C77CF0">
            <w:pPr>
              <w:spacing w:line="240" w:lineRule="auto"/>
              <w:jc w:val="both"/>
              <w:cnfStyle w:val="000000100000"/>
              <w:rPr>
                <w:rFonts w:ascii="Arial" w:hAnsi="Arial" w:cs="Arial"/>
                <w:color w:val="000000"/>
                <w:sz w:val="24"/>
                <w:szCs w:val="24"/>
              </w:rPr>
            </w:pPr>
            <w:r w:rsidRPr="008642FA">
              <w:rPr>
                <w:rFonts w:ascii="Arial" w:hAnsi="Arial" w:cs="Arial"/>
                <w:color w:val="000000"/>
                <w:sz w:val="24"/>
                <w:szCs w:val="24"/>
              </w:rPr>
              <w:t>56,88</w:t>
            </w:r>
          </w:p>
        </w:tc>
        <w:tc>
          <w:tcPr>
            <w:tcW w:w="878" w:type="dxa"/>
            <w:tcBorders>
              <w:top w:val="nil"/>
            </w:tcBorders>
            <w:vAlign w:val="center"/>
          </w:tcPr>
          <w:p w:rsidR="00256E45" w:rsidRPr="008642FA" w:rsidRDefault="00F647E6" w:rsidP="00C77CF0">
            <w:pPr>
              <w:spacing w:line="240" w:lineRule="auto"/>
              <w:jc w:val="both"/>
              <w:cnfStyle w:val="000000100000"/>
              <w:rPr>
                <w:rFonts w:ascii="Arial" w:hAnsi="Arial" w:cs="Arial"/>
                <w:color w:val="000000"/>
                <w:sz w:val="24"/>
                <w:szCs w:val="24"/>
              </w:rPr>
            </w:pPr>
            <w:r w:rsidRPr="008642FA">
              <w:rPr>
                <w:rFonts w:ascii="Arial" w:hAnsi="Arial" w:cs="Arial"/>
                <w:color w:val="000000"/>
                <w:sz w:val="24"/>
                <w:szCs w:val="24"/>
              </w:rPr>
              <w:t>0,00*</w:t>
            </w:r>
          </w:p>
        </w:tc>
      </w:tr>
    </w:tbl>
    <w:p w:rsidR="00256E45" w:rsidRPr="00C77CF0" w:rsidRDefault="00F647E6" w:rsidP="00C77CF0">
      <w:pPr>
        <w:ind w:firstLine="709"/>
        <w:rPr>
          <w:rFonts w:ascii="Arial" w:hAnsi="Arial" w:cs="Arial"/>
          <w:color w:val="000000"/>
          <w:sz w:val="20"/>
          <w:szCs w:val="20"/>
        </w:rPr>
      </w:pPr>
      <w:r w:rsidRPr="00C77CF0">
        <w:rPr>
          <w:rFonts w:ascii="Arial" w:hAnsi="Arial" w:cs="Arial"/>
          <w:color w:val="000000"/>
          <w:sz w:val="20"/>
          <w:szCs w:val="20"/>
        </w:rPr>
        <w:t>*Diferenças significativas.</w:t>
      </w:r>
    </w:p>
    <w:p w:rsidR="00256E45" w:rsidRPr="00C77CF0" w:rsidRDefault="00F647E6" w:rsidP="00C77CF0">
      <w:pPr>
        <w:ind w:firstLine="709"/>
        <w:rPr>
          <w:rFonts w:ascii="Arial" w:hAnsi="Arial" w:cs="Arial"/>
          <w:sz w:val="20"/>
          <w:szCs w:val="20"/>
        </w:rPr>
      </w:pPr>
      <w:r w:rsidRPr="00C77CF0">
        <w:rPr>
          <w:rFonts w:ascii="Arial" w:hAnsi="Arial" w:cs="Arial"/>
          <w:sz w:val="20"/>
          <w:szCs w:val="20"/>
        </w:rPr>
        <w:t>Legendas: GL = Grau de liberdade; QM = Quadrado médio; F= Razão; p = p-Valor. *p &lt; 0,05</w:t>
      </w:r>
    </w:p>
    <w:p w:rsidR="00256E45" w:rsidRPr="008642FA" w:rsidRDefault="00F647E6">
      <w:pPr>
        <w:spacing w:line="360" w:lineRule="auto"/>
        <w:jc w:val="both"/>
        <w:rPr>
          <w:rFonts w:ascii="Arial" w:hAnsi="Arial" w:cs="Arial"/>
          <w:sz w:val="24"/>
          <w:szCs w:val="24"/>
        </w:rPr>
      </w:pPr>
      <w:r w:rsidRPr="008642FA">
        <w:rPr>
          <w:rFonts w:ascii="Arial" w:hAnsi="Arial" w:cs="Arial"/>
          <w:sz w:val="24"/>
          <w:szCs w:val="24"/>
        </w:rPr>
        <w:tab/>
      </w:r>
    </w:p>
    <w:p w:rsidR="00256E45" w:rsidRPr="008642FA" w:rsidRDefault="00F647E6" w:rsidP="00C77CF0">
      <w:pPr>
        <w:spacing w:line="480" w:lineRule="auto"/>
        <w:ind w:firstLine="709"/>
        <w:jc w:val="both"/>
        <w:rPr>
          <w:rFonts w:ascii="Arial" w:hAnsi="Arial" w:cs="Arial"/>
          <w:sz w:val="24"/>
          <w:szCs w:val="24"/>
        </w:rPr>
      </w:pPr>
      <w:r w:rsidRPr="008642FA">
        <w:rPr>
          <w:rFonts w:ascii="Arial" w:hAnsi="Arial" w:cs="Arial"/>
          <w:sz w:val="24"/>
          <w:szCs w:val="24"/>
        </w:rPr>
        <w:t>Aplicou-se o Teste de Tukey (5%) com a finalidade de observar as diferenças significativas nos fatores avaliados (Tabelas 3 e 4).</w:t>
      </w:r>
    </w:p>
    <w:p w:rsidR="00256E45" w:rsidRPr="008642FA" w:rsidRDefault="00F647E6" w:rsidP="00C77CF0">
      <w:pPr>
        <w:spacing w:line="480" w:lineRule="auto"/>
        <w:ind w:firstLine="709"/>
        <w:jc w:val="both"/>
        <w:rPr>
          <w:rFonts w:ascii="Arial" w:hAnsi="Arial" w:cs="Arial"/>
          <w:sz w:val="24"/>
          <w:szCs w:val="24"/>
        </w:rPr>
      </w:pPr>
      <w:r w:rsidRPr="008642FA">
        <w:rPr>
          <w:rFonts w:ascii="Arial" w:hAnsi="Arial" w:cs="Arial"/>
          <w:sz w:val="24"/>
          <w:szCs w:val="24"/>
        </w:rPr>
        <w:t xml:space="preserve">Na Tabela 3 observa-se os resultados do fator Tratamento do Esmalte para o teste de Tukey. </w:t>
      </w:r>
    </w:p>
    <w:p w:rsidR="00ED4B9B" w:rsidRPr="008642FA" w:rsidRDefault="00ED4B9B">
      <w:pPr>
        <w:spacing w:line="360" w:lineRule="auto"/>
        <w:jc w:val="both"/>
        <w:rPr>
          <w:rFonts w:ascii="Arial" w:hAnsi="Arial" w:cs="Arial"/>
          <w:b/>
          <w:color w:val="000000"/>
          <w:sz w:val="24"/>
          <w:szCs w:val="24"/>
        </w:rPr>
      </w:pPr>
    </w:p>
    <w:p w:rsidR="00256E45" w:rsidRPr="008642FA" w:rsidRDefault="00F647E6" w:rsidP="007155E9">
      <w:pPr>
        <w:spacing w:line="360" w:lineRule="auto"/>
        <w:jc w:val="center"/>
        <w:rPr>
          <w:rFonts w:ascii="Arial" w:hAnsi="Arial" w:cs="Arial"/>
          <w:sz w:val="24"/>
          <w:szCs w:val="24"/>
        </w:rPr>
      </w:pPr>
      <w:r w:rsidRPr="008642FA">
        <w:rPr>
          <w:rFonts w:ascii="Arial" w:hAnsi="Arial" w:cs="Arial"/>
          <w:b/>
          <w:color w:val="000000"/>
          <w:sz w:val="24"/>
          <w:szCs w:val="24"/>
        </w:rPr>
        <w:t>Tabela 3.</w:t>
      </w:r>
      <w:r w:rsidRPr="008642FA">
        <w:rPr>
          <w:rFonts w:ascii="Arial" w:hAnsi="Arial" w:cs="Arial"/>
          <w:color w:val="000000"/>
          <w:sz w:val="24"/>
          <w:szCs w:val="24"/>
        </w:rPr>
        <w:t xml:space="preserve"> Resultado do Teste de Tukey para o fator Tratamento do Esmalte.</w:t>
      </w:r>
    </w:p>
    <w:tbl>
      <w:tblPr>
        <w:tblStyle w:val="SombreamentoClaro1"/>
        <w:tblW w:w="8046" w:type="dxa"/>
        <w:jc w:val="center"/>
        <w:tblLook w:val="04A0"/>
      </w:tblPr>
      <w:tblGrid>
        <w:gridCol w:w="3085"/>
        <w:gridCol w:w="2684"/>
        <w:gridCol w:w="2277"/>
      </w:tblGrid>
      <w:tr w:rsidR="00256E45" w:rsidRPr="008642FA" w:rsidTr="007155E9">
        <w:trPr>
          <w:cnfStyle w:val="100000000000"/>
          <w:trHeight w:val="976"/>
          <w:jc w:val="center"/>
        </w:trPr>
        <w:tc>
          <w:tcPr>
            <w:cnfStyle w:val="001000000000"/>
            <w:tcW w:w="3085" w:type="dxa"/>
            <w:shd w:val="clear" w:color="auto" w:fill="auto"/>
            <w:vAlign w:val="center"/>
          </w:tcPr>
          <w:p w:rsidR="00256E45" w:rsidRPr="008642FA" w:rsidRDefault="00F647E6" w:rsidP="00C77CF0">
            <w:pPr>
              <w:spacing w:after="0" w:line="240" w:lineRule="auto"/>
              <w:ind w:firstLine="6"/>
              <w:jc w:val="both"/>
              <w:rPr>
                <w:rFonts w:ascii="Arial" w:hAnsi="Arial" w:cs="Arial"/>
                <w:color w:val="000000"/>
                <w:sz w:val="24"/>
                <w:szCs w:val="24"/>
              </w:rPr>
            </w:pPr>
            <w:r w:rsidRPr="008642FA">
              <w:rPr>
                <w:rFonts w:ascii="Arial" w:eastAsia="Cambria" w:hAnsi="Arial" w:cs="Arial"/>
                <w:sz w:val="24"/>
                <w:szCs w:val="24"/>
              </w:rPr>
              <w:lastRenderedPageBreak/>
              <w:t>Tratamento de Esmalte</w:t>
            </w:r>
          </w:p>
        </w:tc>
        <w:tc>
          <w:tcPr>
            <w:tcW w:w="2684" w:type="dxa"/>
            <w:shd w:val="clear" w:color="auto" w:fill="auto"/>
            <w:vAlign w:val="center"/>
          </w:tcPr>
          <w:p w:rsidR="00256E45" w:rsidRPr="008642FA" w:rsidRDefault="00F647E6" w:rsidP="00C77CF0">
            <w:pPr>
              <w:spacing w:after="0" w:line="240" w:lineRule="auto"/>
              <w:ind w:firstLine="6"/>
              <w:jc w:val="center"/>
              <w:cnfStyle w:val="100000000000"/>
              <w:rPr>
                <w:rFonts w:ascii="Arial" w:eastAsia="Cambria" w:hAnsi="Arial" w:cs="Arial"/>
                <w:sz w:val="24"/>
                <w:szCs w:val="24"/>
              </w:rPr>
            </w:pPr>
            <w:r w:rsidRPr="008642FA">
              <w:rPr>
                <w:rFonts w:ascii="Arial" w:eastAsia="Cambria" w:hAnsi="Arial" w:cs="Arial"/>
                <w:sz w:val="24"/>
                <w:szCs w:val="24"/>
              </w:rPr>
              <w:t>Valores em MPa</w:t>
            </w:r>
          </w:p>
          <w:p w:rsidR="00256E45" w:rsidRPr="008642FA" w:rsidRDefault="00F647E6" w:rsidP="00C77CF0">
            <w:pPr>
              <w:spacing w:after="0" w:line="240" w:lineRule="auto"/>
              <w:ind w:firstLine="6"/>
              <w:jc w:val="center"/>
              <w:cnfStyle w:val="100000000000"/>
              <w:rPr>
                <w:rFonts w:ascii="Arial" w:hAnsi="Arial" w:cs="Arial"/>
                <w:color w:val="000000"/>
                <w:sz w:val="24"/>
                <w:szCs w:val="24"/>
              </w:rPr>
            </w:pPr>
            <w:r w:rsidRPr="008642FA">
              <w:rPr>
                <w:rFonts w:ascii="Arial" w:hAnsi="Arial" w:cs="Arial"/>
                <w:sz w:val="24"/>
                <w:szCs w:val="24"/>
              </w:rPr>
              <w:t>(Média ± DP)</w:t>
            </w:r>
          </w:p>
        </w:tc>
        <w:tc>
          <w:tcPr>
            <w:tcW w:w="2277" w:type="dxa"/>
            <w:shd w:val="clear" w:color="auto" w:fill="auto"/>
            <w:vAlign w:val="center"/>
          </w:tcPr>
          <w:p w:rsidR="00256E45" w:rsidRPr="008642FA" w:rsidRDefault="00F647E6" w:rsidP="00C77CF0">
            <w:pPr>
              <w:spacing w:after="0" w:line="240" w:lineRule="auto"/>
              <w:ind w:firstLine="6"/>
              <w:jc w:val="center"/>
              <w:cnfStyle w:val="100000000000"/>
              <w:rPr>
                <w:rFonts w:ascii="Arial" w:hAnsi="Arial" w:cs="Arial"/>
                <w:color w:val="000000"/>
                <w:sz w:val="24"/>
                <w:szCs w:val="24"/>
              </w:rPr>
            </w:pPr>
            <w:r w:rsidRPr="008642FA">
              <w:rPr>
                <w:rFonts w:ascii="Arial" w:eastAsia="Cambria" w:hAnsi="Arial" w:cs="Arial"/>
                <w:sz w:val="24"/>
                <w:szCs w:val="24"/>
              </w:rPr>
              <w:t>Grupos Homogêneos*</w:t>
            </w:r>
          </w:p>
        </w:tc>
      </w:tr>
      <w:tr w:rsidR="00256E45" w:rsidRPr="008642FA" w:rsidTr="007155E9">
        <w:trPr>
          <w:cnfStyle w:val="000000100000"/>
          <w:trHeight w:val="594"/>
          <w:jc w:val="center"/>
        </w:trPr>
        <w:tc>
          <w:tcPr>
            <w:cnfStyle w:val="001000000000"/>
            <w:tcW w:w="3085" w:type="dxa"/>
            <w:tcBorders>
              <w:top w:val="nil"/>
              <w:bottom w:val="nil"/>
            </w:tcBorders>
            <w:vAlign w:val="center"/>
          </w:tcPr>
          <w:p w:rsidR="00256E45" w:rsidRPr="008642FA" w:rsidRDefault="00F647E6" w:rsidP="00C77CF0">
            <w:pPr>
              <w:spacing w:line="240" w:lineRule="auto"/>
              <w:ind w:firstLine="6"/>
              <w:jc w:val="both"/>
              <w:rPr>
                <w:rFonts w:ascii="Arial" w:hAnsi="Arial" w:cs="Arial"/>
                <w:color w:val="000000"/>
                <w:sz w:val="24"/>
                <w:szCs w:val="24"/>
              </w:rPr>
            </w:pPr>
            <w:r w:rsidRPr="008642FA">
              <w:rPr>
                <w:rFonts w:ascii="Arial" w:hAnsi="Arial" w:cs="Arial"/>
                <w:color w:val="000000"/>
                <w:sz w:val="24"/>
                <w:szCs w:val="24"/>
              </w:rPr>
              <w:t>Controle</w:t>
            </w:r>
          </w:p>
        </w:tc>
        <w:tc>
          <w:tcPr>
            <w:tcW w:w="2684" w:type="dxa"/>
            <w:tcBorders>
              <w:top w:val="nil"/>
              <w:bottom w:val="nil"/>
            </w:tcBorders>
            <w:vAlign w:val="center"/>
          </w:tcPr>
          <w:p w:rsidR="00256E45" w:rsidRPr="008642FA" w:rsidRDefault="00F647E6" w:rsidP="00C77CF0">
            <w:pPr>
              <w:spacing w:line="240" w:lineRule="auto"/>
              <w:ind w:firstLine="6"/>
              <w:jc w:val="center"/>
              <w:cnfStyle w:val="000000100000"/>
              <w:rPr>
                <w:rFonts w:ascii="Arial" w:hAnsi="Arial" w:cs="Arial"/>
                <w:color w:val="00000A"/>
                <w:sz w:val="24"/>
                <w:szCs w:val="24"/>
              </w:rPr>
            </w:pPr>
            <w:r w:rsidRPr="008642FA">
              <w:rPr>
                <w:rFonts w:ascii="Arial" w:hAnsi="Arial" w:cs="Arial"/>
                <w:color w:val="00000A"/>
                <w:sz w:val="24"/>
                <w:szCs w:val="24"/>
              </w:rPr>
              <w:t>21,71±7,54</w:t>
            </w:r>
          </w:p>
        </w:tc>
        <w:tc>
          <w:tcPr>
            <w:tcW w:w="2277" w:type="dxa"/>
            <w:tcBorders>
              <w:top w:val="nil"/>
              <w:bottom w:val="nil"/>
            </w:tcBorders>
            <w:vAlign w:val="center"/>
          </w:tcPr>
          <w:p w:rsidR="00256E45" w:rsidRPr="008642FA" w:rsidRDefault="00F647E6" w:rsidP="00C77CF0">
            <w:pPr>
              <w:spacing w:line="240" w:lineRule="auto"/>
              <w:ind w:firstLine="6"/>
              <w:cnfStyle w:val="000000100000"/>
              <w:rPr>
                <w:rFonts w:ascii="Arial" w:hAnsi="Arial" w:cs="Arial"/>
                <w:color w:val="000000"/>
                <w:sz w:val="24"/>
                <w:szCs w:val="24"/>
              </w:rPr>
            </w:pPr>
            <w:r w:rsidRPr="008642FA">
              <w:rPr>
                <w:rFonts w:ascii="Arial" w:hAnsi="Arial" w:cs="Arial"/>
                <w:color w:val="000000"/>
                <w:sz w:val="24"/>
                <w:szCs w:val="24"/>
              </w:rPr>
              <w:t>A</w:t>
            </w:r>
          </w:p>
        </w:tc>
      </w:tr>
      <w:tr w:rsidR="00256E45" w:rsidRPr="008642FA" w:rsidTr="007155E9">
        <w:trPr>
          <w:trHeight w:val="594"/>
          <w:jc w:val="center"/>
        </w:trPr>
        <w:tc>
          <w:tcPr>
            <w:cnfStyle w:val="001000000000"/>
            <w:tcW w:w="3085" w:type="dxa"/>
            <w:tcBorders>
              <w:top w:val="nil"/>
              <w:bottom w:val="nil"/>
            </w:tcBorders>
            <w:shd w:val="clear" w:color="auto" w:fill="auto"/>
            <w:vAlign w:val="center"/>
          </w:tcPr>
          <w:p w:rsidR="00256E45" w:rsidRPr="008642FA" w:rsidRDefault="00F647E6" w:rsidP="00C77CF0">
            <w:pPr>
              <w:spacing w:line="240" w:lineRule="auto"/>
              <w:ind w:firstLine="6"/>
              <w:jc w:val="both"/>
              <w:rPr>
                <w:rFonts w:ascii="Arial" w:hAnsi="Arial" w:cs="Arial"/>
                <w:color w:val="000000"/>
                <w:sz w:val="24"/>
                <w:szCs w:val="24"/>
              </w:rPr>
            </w:pPr>
            <w:r w:rsidRPr="008642FA">
              <w:rPr>
                <w:rFonts w:ascii="Arial" w:hAnsi="Arial" w:cs="Arial"/>
                <w:color w:val="000000"/>
                <w:sz w:val="24"/>
                <w:szCs w:val="24"/>
              </w:rPr>
              <w:t>Desmineralizado</w:t>
            </w:r>
          </w:p>
        </w:tc>
        <w:tc>
          <w:tcPr>
            <w:tcW w:w="2684" w:type="dxa"/>
            <w:tcBorders>
              <w:top w:val="nil"/>
              <w:bottom w:val="nil"/>
            </w:tcBorders>
            <w:shd w:val="clear" w:color="auto" w:fill="auto"/>
            <w:vAlign w:val="center"/>
          </w:tcPr>
          <w:p w:rsidR="00256E45" w:rsidRPr="008642FA" w:rsidRDefault="00F647E6" w:rsidP="00C77CF0">
            <w:pPr>
              <w:spacing w:line="240" w:lineRule="auto"/>
              <w:ind w:firstLine="6"/>
              <w:jc w:val="center"/>
              <w:cnfStyle w:val="000000000000"/>
              <w:rPr>
                <w:rFonts w:ascii="Arial" w:hAnsi="Arial" w:cs="Arial"/>
                <w:color w:val="00000A"/>
                <w:sz w:val="24"/>
                <w:szCs w:val="24"/>
              </w:rPr>
            </w:pPr>
            <w:r w:rsidRPr="008642FA">
              <w:rPr>
                <w:rFonts w:ascii="Arial" w:hAnsi="Arial" w:cs="Arial"/>
                <w:color w:val="00000A"/>
                <w:sz w:val="24"/>
                <w:szCs w:val="24"/>
              </w:rPr>
              <w:t>11,27±4,25</w:t>
            </w:r>
          </w:p>
        </w:tc>
        <w:tc>
          <w:tcPr>
            <w:tcW w:w="2277" w:type="dxa"/>
            <w:tcBorders>
              <w:top w:val="nil"/>
              <w:bottom w:val="nil"/>
            </w:tcBorders>
            <w:shd w:val="clear" w:color="auto" w:fill="auto"/>
            <w:vAlign w:val="center"/>
          </w:tcPr>
          <w:p w:rsidR="00256E45" w:rsidRPr="008642FA" w:rsidRDefault="00F647E6" w:rsidP="00C77CF0">
            <w:pPr>
              <w:spacing w:line="240" w:lineRule="auto"/>
              <w:ind w:firstLine="6"/>
              <w:jc w:val="center"/>
              <w:cnfStyle w:val="000000000000"/>
              <w:rPr>
                <w:rFonts w:ascii="Arial" w:hAnsi="Arial" w:cs="Arial"/>
                <w:color w:val="000000"/>
                <w:sz w:val="24"/>
                <w:szCs w:val="24"/>
              </w:rPr>
            </w:pPr>
            <w:r w:rsidRPr="008642FA">
              <w:rPr>
                <w:rFonts w:ascii="Arial" w:hAnsi="Arial" w:cs="Arial"/>
                <w:color w:val="000000"/>
                <w:sz w:val="24"/>
                <w:szCs w:val="24"/>
              </w:rPr>
              <w:t>B</w:t>
            </w:r>
          </w:p>
        </w:tc>
      </w:tr>
      <w:tr w:rsidR="00256E45" w:rsidRPr="008642FA" w:rsidTr="007155E9">
        <w:trPr>
          <w:cnfStyle w:val="000000100000"/>
          <w:trHeight w:val="594"/>
          <w:jc w:val="center"/>
        </w:trPr>
        <w:tc>
          <w:tcPr>
            <w:cnfStyle w:val="001000000000"/>
            <w:tcW w:w="3085" w:type="dxa"/>
            <w:tcBorders>
              <w:top w:val="nil"/>
              <w:bottom w:val="nil"/>
            </w:tcBorders>
            <w:vAlign w:val="center"/>
          </w:tcPr>
          <w:p w:rsidR="00256E45" w:rsidRPr="008642FA" w:rsidRDefault="00F647E6" w:rsidP="00C77CF0">
            <w:pPr>
              <w:spacing w:line="240" w:lineRule="auto"/>
              <w:ind w:firstLine="6"/>
              <w:jc w:val="both"/>
              <w:rPr>
                <w:rFonts w:ascii="Arial" w:hAnsi="Arial" w:cs="Arial"/>
                <w:color w:val="000000"/>
                <w:sz w:val="24"/>
                <w:szCs w:val="24"/>
              </w:rPr>
            </w:pPr>
            <w:r w:rsidRPr="008642FA">
              <w:rPr>
                <w:rFonts w:ascii="Arial" w:hAnsi="Arial" w:cs="Arial"/>
                <w:color w:val="000000"/>
                <w:sz w:val="24"/>
                <w:szCs w:val="24"/>
              </w:rPr>
              <w:t>Saliva</w:t>
            </w:r>
          </w:p>
        </w:tc>
        <w:tc>
          <w:tcPr>
            <w:tcW w:w="2684" w:type="dxa"/>
            <w:tcBorders>
              <w:top w:val="nil"/>
              <w:bottom w:val="nil"/>
            </w:tcBorders>
            <w:vAlign w:val="center"/>
          </w:tcPr>
          <w:p w:rsidR="00256E45" w:rsidRPr="008642FA" w:rsidRDefault="00F647E6" w:rsidP="00C77CF0">
            <w:pPr>
              <w:spacing w:line="240" w:lineRule="auto"/>
              <w:ind w:firstLine="6"/>
              <w:jc w:val="center"/>
              <w:cnfStyle w:val="000000100000"/>
              <w:rPr>
                <w:rFonts w:ascii="Arial" w:hAnsi="Arial" w:cs="Arial"/>
                <w:color w:val="00000A"/>
                <w:sz w:val="24"/>
                <w:szCs w:val="24"/>
              </w:rPr>
            </w:pPr>
            <w:r w:rsidRPr="008642FA">
              <w:rPr>
                <w:rFonts w:ascii="Arial" w:hAnsi="Arial" w:cs="Arial"/>
                <w:color w:val="00000A"/>
                <w:sz w:val="24"/>
                <w:szCs w:val="24"/>
              </w:rPr>
              <w:t>9,72±1,76</w:t>
            </w:r>
          </w:p>
        </w:tc>
        <w:tc>
          <w:tcPr>
            <w:tcW w:w="2277" w:type="dxa"/>
            <w:tcBorders>
              <w:top w:val="nil"/>
              <w:bottom w:val="nil"/>
            </w:tcBorders>
            <w:vAlign w:val="center"/>
          </w:tcPr>
          <w:p w:rsidR="00256E45" w:rsidRPr="008642FA" w:rsidRDefault="00F647E6" w:rsidP="00C77CF0">
            <w:pPr>
              <w:spacing w:line="240" w:lineRule="auto"/>
              <w:ind w:firstLine="6"/>
              <w:jc w:val="center"/>
              <w:cnfStyle w:val="000000100000"/>
              <w:rPr>
                <w:rFonts w:ascii="Arial" w:hAnsi="Arial" w:cs="Arial"/>
                <w:color w:val="000000"/>
                <w:sz w:val="24"/>
                <w:szCs w:val="24"/>
              </w:rPr>
            </w:pPr>
            <w:r w:rsidRPr="008642FA">
              <w:rPr>
                <w:rFonts w:ascii="Arial" w:hAnsi="Arial" w:cs="Arial"/>
                <w:color w:val="000000"/>
                <w:sz w:val="24"/>
                <w:szCs w:val="24"/>
              </w:rPr>
              <w:t>B</w:t>
            </w:r>
          </w:p>
        </w:tc>
      </w:tr>
      <w:tr w:rsidR="00256E45" w:rsidRPr="008642FA" w:rsidTr="007155E9">
        <w:trPr>
          <w:trHeight w:val="594"/>
          <w:jc w:val="center"/>
        </w:trPr>
        <w:tc>
          <w:tcPr>
            <w:cnfStyle w:val="001000000000"/>
            <w:tcW w:w="3085" w:type="dxa"/>
            <w:tcBorders>
              <w:top w:val="nil"/>
              <w:bottom w:val="nil"/>
            </w:tcBorders>
            <w:shd w:val="clear" w:color="auto" w:fill="auto"/>
            <w:vAlign w:val="center"/>
          </w:tcPr>
          <w:p w:rsidR="00256E45" w:rsidRPr="008642FA" w:rsidRDefault="00F647E6" w:rsidP="00C77CF0">
            <w:pPr>
              <w:spacing w:line="240" w:lineRule="auto"/>
              <w:ind w:firstLine="6"/>
              <w:jc w:val="both"/>
              <w:rPr>
                <w:rFonts w:ascii="Arial" w:hAnsi="Arial" w:cs="Arial"/>
                <w:color w:val="000000"/>
                <w:sz w:val="24"/>
                <w:szCs w:val="24"/>
              </w:rPr>
            </w:pPr>
            <w:r w:rsidRPr="008642FA">
              <w:rPr>
                <w:rFonts w:ascii="Arial" w:hAnsi="Arial" w:cs="Arial"/>
                <w:color w:val="000000"/>
                <w:sz w:val="24"/>
                <w:szCs w:val="24"/>
              </w:rPr>
              <w:t>Flúor</w:t>
            </w:r>
          </w:p>
        </w:tc>
        <w:tc>
          <w:tcPr>
            <w:tcW w:w="2684" w:type="dxa"/>
            <w:tcBorders>
              <w:top w:val="nil"/>
              <w:bottom w:val="nil"/>
            </w:tcBorders>
            <w:shd w:val="clear" w:color="auto" w:fill="auto"/>
            <w:vAlign w:val="center"/>
          </w:tcPr>
          <w:p w:rsidR="00256E45" w:rsidRPr="008642FA" w:rsidRDefault="00F647E6" w:rsidP="00C77CF0">
            <w:pPr>
              <w:spacing w:line="240" w:lineRule="auto"/>
              <w:ind w:firstLine="6"/>
              <w:jc w:val="center"/>
              <w:cnfStyle w:val="000000000000"/>
              <w:rPr>
                <w:rFonts w:ascii="Arial" w:hAnsi="Arial" w:cs="Arial"/>
                <w:color w:val="00000A"/>
                <w:sz w:val="24"/>
                <w:szCs w:val="24"/>
              </w:rPr>
            </w:pPr>
            <w:r w:rsidRPr="008642FA">
              <w:rPr>
                <w:rFonts w:ascii="Arial" w:hAnsi="Arial" w:cs="Arial"/>
                <w:color w:val="00000A"/>
                <w:sz w:val="24"/>
                <w:szCs w:val="24"/>
              </w:rPr>
              <w:t>11,23±2,52</w:t>
            </w:r>
          </w:p>
        </w:tc>
        <w:tc>
          <w:tcPr>
            <w:tcW w:w="2277" w:type="dxa"/>
            <w:tcBorders>
              <w:top w:val="nil"/>
              <w:bottom w:val="nil"/>
            </w:tcBorders>
            <w:shd w:val="clear" w:color="auto" w:fill="auto"/>
            <w:vAlign w:val="center"/>
          </w:tcPr>
          <w:p w:rsidR="00256E45" w:rsidRPr="008642FA" w:rsidRDefault="00F647E6" w:rsidP="00C77CF0">
            <w:pPr>
              <w:spacing w:line="240" w:lineRule="auto"/>
              <w:ind w:firstLine="6"/>
              <w:jc w:val="center"/>
              <w:cnfStyle w:val="000000000000"/>
              <w:rPr>
                <w:rFonts w:ascii="Arial" w:hAnsi="Arial" w:cs="Arial"/>
                <w:color w:val="000000"/>
                <w:sz w:val="24"/>
                <w:szCs w:val="24"/>
              </w:rPr>
            </w:pPr>
            <w:r w:rsidRPr="008642FA">
              <w:rPr>
                <w:rFonts w:ascii="Arial" w:hAnsi="Arial" w:cs="Arial"/>
                <w:color w:val="000000"/>
                <w:sz w:val="24"/>
                <w:szCs w:val="24"/>
              </w:rPr>
              <w:t>B</w:t>
            </w:r>
          </w:p>
        </w:tc>
      </w:tr>
      <w:tr w:rsidR="00256E45" w:rsidRPr="008642FA" w:rsidTr="007155E9">
        <w:trPr>
          <w:cnfStyle w:val="000000100000"/>
          <w:trHeight w:val="575"/>
          <w:jc w:val="center"/>
        </w:trPr>
        <w:tc>
          <w:tcPr>
            <w:cnfStyle w:val="001000000000"/>
            <w:tcW w:w="3085" w:type="dxa"/>
            <w:tcBorders>
              <w:top w:val="nil"/>
            </w:tcBorders>
            <w:vAlign w:val="center"/>
          </w:tcPr>
          <w:p w:rsidR="00256E45" w:rsidRPr="008642FA" w:rsidRDefault="00F647E6" w:rsidP="00C77CF0">
            <w:pPr>
              <w:spacing w:line="240" w:lineRule="auto"/>
              <w:ind w:firstLine="6"/>
              <w:jc w:val="both"/>
              <w:rPr>
                <w:rFonts w:ascii="Arial" w:hAnsi="Arial" w:cs="Arial"/>
                <w:color w:val="000000"/>
                <w:sz w:val="24"/>
                <w:szCs w:val="24"/>
              </w:rPr>
            </w:pPr>
            <w:r w:rsidRPr="008642FA">
              <w:rPr>
                <w:rFonts w:ascii="Arial" w:hAnsi="Arial" w:cs="Arial"/>
                <w:color w:val="000000"/>
                <w:sz w:val="24"/>
                <w:szCs w:val="24"/>
              </w:rPr>
              <w:t>ICON</w:t>
            </w:r>
          </w:p>
        </w:tc>
        <w:tc>
          <w:tcPr>
            <w:tcW w:w="2684" w:type="dxa"/>
            <w:tcBorders>
              <w:top w:val="nil"/>
            </w:tcBorders>
            <w:vAlign w:val="center"/>
          </w:tcPr>
          <w:p w:rsidR="00256E45" w:rsidRPr="008642FA" w:rsidRDefault="00F647E6" w:rsidP="00C77CF0">
            <w:pPr>
              <w:spacing w:line="240" w:lineRule="auto"/>
              <w:ind w:firstLine="6"/>
              <w:jc w:val="center"/>
              <w:cnfStyle w:val="000000100000"/>
              <w:rPr>
                <w:rFonts w:ascii="Arial" w:hAnsi="Arial" w:cs="Arial"/>
                <w:color w:val="00000A"/>
                <w:sz w:val="24"/>
                <w:szCs w:val="24"/>
              </w:rPr>
            </w:pPr>
            <w:r w:rsidRPr="008642FA">
              <w:rPr>
                <w:rFonts w:ascii="Arial" w:hAnsi="Arial" w:cs="Arial"/>
                <w:color w:val="00000A"/>
                <w:sz w:val="24"/>
                <w:szCs w:val="24"/>
              </w:rPr>
              <w:t>24,80±2,35</w:t>
            </w:r>
          </w:p>
        </w:tc>
        <w:tc>
          <w:tcPr>
            <w:tcW w:w="2277" w:type="dxa"/>
            <w:tcBorders>
              <w:top w:val="nil"/>
            </w:tcBorders>
            <w:vAlign w:val="center"/>
          </w:tcPr>
          <w:p w:rsidR="00256E45" w:rsidRPr="008642FA" w:rsidRDefault="00F647E6" w:rsidP="00C77CF0">
            <w:pPr>
              <w:spacing w:line="240" w:lineRule="auto"/>
              <w:ind w:firstLine="6"/>
              <w:cnfStyle w:val="000000100000"/>
              <w:rPr>
                <w:rFonts w:ascii="Arial" w:hAnsi="Arial" w:cs="Arial"/>
                <w:color w:val="000000"/>
                <w:sz w:val="24"/>
                <w:szCs w:val="24"/>
              </w:rPr>
            </w:pPr>
            <w:r w:rsidRPr="008642FA">
              <w:rPr>
                <w:rFonts w:ascii="Arial" w:hAnsi="Arial" w:cs="Arial"/>
                <w:color w:val="000000"/>
                <w:sz w:val="24"/>
                <w:szCs w:val="24"/>
              </w:rPr>
              <w:t>A</w:t>
            </w:r>
          </w:p>
        </w:tc>
      </w:tr>
    </w:tbl>
    <w:p w:rsidR="00256E45" w:rsidRPr="00C77CF0" w:rsidRDefault="00F647E6" w:rsidP="007155E9">
      <w:pPr>
        <w:spacing w:line="360" w:lineRule="auto"/>
        <w:ind w:firstLine="851"/>
        <w:jc w:val="both"/>
        <w:rPr>
          <w:rFonts w:ascii="Arial" w:hAnsi="Arial" w:cs="Arial"/>
          <w:sz w:val="20"/>
          <w:szCs w:val="24"/>
        </w:rPr>
      </w:pPr>
      <w:r w:rsidRPr="00C77CF0">
        <w:rPr>
          <w:rFonts w:ascii="Arial" w:hAnsi="Arial" w:cs="Arial"/>
          <w:sz w:val="20"/>
          <w:szCs w:val="24"/>
        </w:rPr>
        <w:t>*Médias seguidas de letras iguais não diferem estatisticamente entre si (p&gt;0,05).</w:t>
      </w:r>
    </w:p>
    <w:p w:rsidR="00256E45" w:rsidRPr="008642FA" w:rsidRDefault="00256E45" w:rsidP="00C77CF0">
      <w:pPr>
        <w:spacing w:line="480" w:lineRule="auto"/>
        <w:jc w:val="both"/>
        <w:rPr>
          <w:rFonts w:ascii="Arial" w:hAnsi="Arial" w:cs="Arial"/>
          <w:color w:val="000000"/>
          <w:sz w:val="24"/>
          <w:szCs w:val="24"/>
        </w:rPr>
      </w:pPr>
    </w:p>
    <w:p w:rsidR="00256E45" w:rsidRPr="008642FA" w:rsidRDefault="00F647E6" w:rsidP="00C77CF0">
      <w:pPr>
        <w:spacing w:line="480" w:lineRule="auto"/>
        <w:jc w:val="both"/>
        <w:rPr>
          <w:rFonts w:ascii="Arial" w:hAnsi="Arial" w:cs="Arial"/>
          <w:sz w:val="24"/>
          <w:szCs w:val="24"/>
        </w:rPr>
      </w:pPr>
      <w:r w:rsidRPr="008642FA">
        <w:rPr>
          <w:rFonts w:ascii="Arial" w:hAnsi="Arial" w:cs="Arial"/>
          <w:sz w:val="24"/>
          <w:szCs w:val="24"/>
        </w:rPr>
        <w:tab/>
        <w:t>As técnicas Controle e ICON apresentaram média de resistência de união significantemente superior aos demais grupos.</w:t>
      </w:r>
    </w:p>
    <w:p w:rsidR="00256E45" w:rsidRPr="008642FA" w:rsidRDefault="00F647E6" w:rsidP="00C77CF0">
      <w:pPr>
        <w:spacing w:line="480" w:lineRule="auto"/>
        <w:jc w:val="both"/>
        <w:rPr>
          <w:rFonts w:ascii="Arial" w:hAnsi="Arial" w:cs="Arial"/>
          <w:sz w:val="24"/>
          <w:szCs w:val="24"/>
        </w:rPr>
      </w:pPr>
      <w:r w:rsidRPr="008642FA">
        <w:rPr>
          <w:rFonts w:ascii="Arial" w:hAnsi="Arial" w:cs="Arial"/>
          <w:sz w:val="24"/>
          <w:szCs w:val="24"/>
        </w:rPr>
        <w:tab/>
        <w:t xml:space="preserve">Na Tabela4 observam-se os resultados do fator Sistema Adesivo para o teste de Tukey. </w:t>
      </w:r>
    </w:p>
    <w:p w:rsidR="00256E45" w:rsidRPr="008642FA" w:rsidRDefault="00F647E6" w:rsidP="007155E9">
      <w:pPr>
        <w:spacing w:line="360" w:lineRule="auto"/>
        <w:jc w:val="center"/>
        <w:rPr>
          <w:rFonts w:ascii="Arial" w:hAnsi="Arial" w:cs="Arial"/>
          <w:sz w:val="24"/>
          <w:szCs w:val="24"/>
        </w:rPr>
      </w:pPr>
      <w:r w:rsidRPr="008642FA">
        <w:rPr>
          <w:rFonts w:ascii="Arial" w:hAnsi="Arial" w:cs="Arial"/>
          <w:b/>
          <w:color w:val="000000"/>
          <w:sz w:val="24"/>
          <w:szCs w:val="24"/>
        </w:rPr>
        <w:t>Tabela 4.</w:t>
      </w:r>
      <w:r w:rsidRPr="008642FA">
        <w:rPr>
          <w:rFonts w:ascii="Arial" w:hAnsi="Arial" w:cs="Arial"/>
          <w:color w:val="000000"/>
          <w:sz w:val="24"/>
          <w:szCs w:val="24"/>
        </w:rPr>
        <w:t xml:space="preserve"> Resultado do Teste de Tukey para o fator Sistema Adesivo.</w:t>
      </w:r>
    </w:p>
    <w:tbl>
      <w:tblPr>
        <w:tblStyle w:val="SombreamentoClaro1"/>
        <w:tblW w:w="8033" w:type="dxa"/>
        <w:jc w:val="center"/>
        <w:tblLook w:val="04A0"/>
      </w:tblPr>
      <w:tblGrid>
        <w:gridCol w:w="2796"/>
        <w:gridCol w:w="2618"/>
        <w:gridCol w:w="2619"/>
      </w:tblGrid>
      <w:tr w:rsidR="00256E45" w:rsidRPr="008642FA" w:rsidTr="00C77CF0">
        <w:trPr>
          <w:cnfStyle w:val="100000000000"/>
          <w:trHeight w:val="936"/>
          <w:jc w:val="center"/>
        </w:trPr>
        <w:tc>
          <w:tcPr>
            <w:cnfStyle w:val="001000000000"/>
            <w:tcW w:w="2796" w:type="dxa"/>
            <w:shd w:val="clear" w:color="auto" w:fill="auto"/>
            <w:vAlign w:val="center"/>
          </w:tcPr>
          <w:p w:rsidR="00256E45" w:rsidRPr="008642FA" w:rsidRDefault="00F647E6" w:rsidP="00C77CF0">
            <w:pPr>
              <w:spacing w:after="0" w:line="240" w:lineRule="auto"/>
              <w:jc w:val="center"/>
              <w:rPr>
                <w:rFonts w:ascii="Arial" w:hAnsi="Arial" w:cs="Arial"/>
                <w:sz w:val="24"/>
                <w:szCs w:val="24"/>
              </w:rPr>
            </w:pPr>
            <w:r w:rsidRPr="008642FA">
              <w:rPr>
                <w:rFonts w:ascii="Arial" w:hAnsi="Arial" w:cs="Arial"/>
                <w:sz w:val="24"/>
                <w:szCs w:val="24"/>
              </w:rPr>
              <w:t>Sistema Adesivo</w:t>
            </w:r>
          </w:p>
        </w:tc>
        <w:tc>
          <w:tcPr>
            <w:tcW w:w="2618" w:type="dxa"/>
            <w:shd w:val="clear" w:color="auto" w:fill="auto"/>
            <w:vAlign w:val="center"/>
          </w:tcPr>
          <w:p w:rsidR="00256E45" w:rsidRPr="008642FA" w:rsidRDefault="00F647E6" w:rsidP="00C77CF0">
            <w:pPr>
              <w:spacing w:after="0" w:line="240" w:lineRule="auto"/>
              <w:jc w:val="center"/>
              <w:cnfStyle w:val="100000000000"/>
              <w:rPr>
                <w:rFonts w:ascii="Arial" w:eastAsia="Cambria" w:hAnsi="Arial" w:cs="Arial"/>
                <w:sz w:val="24"/>
                <w:szCs w:val="24"/>
              </w:rPr>
            </w:pPr>
            <w:r w:rsidRPr="008642FA">
              <w:rPr>
                <w:rFonts w:ascii="Arial" w:eastAsia="Cambria" w:hAnsi="Arial" w:cs="Arial"/>
                <w:sz w:val="24"/>
                <w:szCs w:val="24"/>
              </w:rPr>
              <w:t>Valores em MPa</w:t>
            </w:r>
          </w:p>
          <w:p w:rsidR="00256E45" w:rsidRPr="008642FA" w:rsidRDefault="00F647E6" w:rsidP="00C77CF0">
            <w:pPr>
              <w:spacing w:after="0" w:line="240" w:lineRule="auto"/>
              <w:jc w:val="center"/>
              <w:cnfStyle w:val="100000000000"/>
              <w:rPr>
                <w:rFonts w:ascii="Arial" w:hAnsi="Arial" w:cs="Arial"/>
                <w:sz w:val="24"/>
                <w:szCs w:val="24"/>
              </w:rPr>
            </w:pPr>
            <w:r w:rsidRPr="008642FA">
              <w:rPr>
                <w:rFonts w:ascii="Arial" w:hAnsi="Arial" w:cs="Arial"/>
                <w:sz w:val="24"/>
                <w:szCs w:val="24"/>
              </w:rPr>
              <w:t>(Média ± DP)</w:t>
            </w:r>
          </w:p>
        </w:tc>
        <w:tc>
          <w:tcPr>
            <w:tcW w:w="2619" w:type="dxa"/>
            <w:shd w:val="clear" w:color="auto" w:fill="auto"/>
            <w:vAlign w:val="center"/>
          </w:tcPr>
          <w:p w:rsidR="00256E45" w:rsidRPr="008642FA" w:rsidRDefault="00F647E6" w:rsidP="00C77CF0">
            <w:pPr>
              <w:spacing w:after="0" w:line="240" w:lineRule="auto"/>
              <w:jc w:val="center"/>
              <w:cnfStyle w:val="100000000000"/>
              <w:rPr>
                <w:rFonts w:ascii="Arial" w:hAnsi="Arial" w:cs="Arial"/>
                <w:sz w:val="24"/>
                <w:szCs w:val="24"/>
              </w:rPr>
            </w:pPr>
            <w:r w:rsidRPr="008642FA">
              <w:rPr>
                <w:rFonts w:ascii="Arial" w:eastAsia="Cambria" w:hAnsi="Arial" w:cs="Arial"/>
                <w:sz w:val="24"/>
                <w:szCs w:val="24"/>
              </w:rPr>
              <w:t>Grupos Homogêneos</w:t>
            </w:r>
          </w:p>
        </w:tc>
      </w:tr>
      <w:tr w:rsidR="00256E45" w:rsidRPr="008642FA" w:rsidTr="00C77CF0">
        <w:trPr>
          <w:cnfStyle w:val="000000100000"/>
          <w:trHeight w:val="919"/>
          <w:jc w:val="center"/>
        </w:trPr>
        <w:tc>
          <w:tcPr>
            <w:cnfStyle w:val="001000000000"/>
            <w:tcW w:w="2796" w:type="dxa"/>
            <w:tcBorders>
              <w:top w:val="nil"/>
              <w:bottom w:val="nil"/>
            </w:tcBorders>
            <w:vAlign w:val="center"/>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Single Bond Univeral</w:t>
            </w:r>
          </w:p>
        </w:tc>
        <w:tc>
          <w:tcPr>
            <w:tcW w:w="2618" w:type="dxa"/>
            <w:tcBorders>
              <w:top w:val="nil"/>
              <w:bottom w:val="nil"/>
            </w:tcBorders>
            <w:vAlign w:val="center"/>
          </w:tcPr>
          <w:p w:rsidR="00256E45" w:rsidRPr="008642FA" w:rsidRDefault="00F647E6" w:rsidP="00C77CF0">
            <w:pPr>
              <w:spacing w:line="240" w:lineRule="auto"/>
              <w:jc w:val="center"/>
              <w:cnfStyle w:val="000000100000"/>
              <w:rPr>
                <w:rFonts w:ascii="Arial" w:eastAsia="Times New Roman" w:hAnsi="Arial" w:cs="Arial"/>
                <w:color w:val="00000A"/>
                <w:sz w:val="24"/>
                <w:szCs w:val="24"/>
              </w:rPr>
            </w:pPr>
            <w:r w:rsidRPr="008642FA">
              <w:rPr>
                <w:rFonts w:ascii="Arial" w:eastAsia="Times New Roman" w:hAnsi="Arial" w:cs="Arial"/>
                <w:color w:val="00000A"/>
                <w:sz w:val="24"/>
                <w:szCs w:val="24"/>
              </w:rPr>
              <w:t>17,30</w:t>
            </w:r>
            <w:r w:rsidRPr="008642FA">
              <w:rPr>
                <w:rFonts w:ascii="Arial" w:hAnsi="Arial" w:cs="Arial"/>
                <w:color w:val="00000A"/>
                <w:sz w:val="24"/>
                <w:szCs w:val="24"/>
              </w:rPr>
              <w:t>±7,64</w:t>
            </w:r>
          </w:p>
        </w:tc>
        <w:tc>
          <w:tcPr>
            <w:tcW w:w="2619" w:type="dxa"/>
            <w:tcBorders>
              <w:top w:val="nil"/>
              <w:bottom w:val="nil"/>
            </w:tcBorders>
            <w:vAlign w:val="center"/>
          </w:tcPr>
          <w:p w:rsidR="00256E45" w:rsidRPr="008642FA" w:rsidRDefault="00F647E6" w:rsidP="00C77CF0">
            <w:pPr>
              <w:spacing w:line="240" w:lineRule="auto"/>
              <w:jc w:val="center"/>
              <w:cnfStyle w:val="000000100000"/>
              <w:rPr>
                <w:rFonts w:ascii="Arial" w:eastAsia="Times New Roman" w:hAnsi="Arial" w:cs="Arial"/>
                <w:color w:val="000000"/>
                <w:sz w:val="24"/>
                <w:szCs w:val="24"/>
              </w:rPr>
            </w:pPr>
            <w:r w:rsidRPr="008642FA">
              <w:rPr>
                <w:rFonts w:ascii="Arial" w:eastAsia="Times New Roman" w:hAnsi="Arial" w:cs="Arial"/>
                <w:color w:val="000000"/>
                <w:sz w:val="24"/>
                <w:szCs w:val="24"/>
              </w:rPr>
              <w:t>A</w:t>
            </w:r>
          </w:p>
        </w:tc>
      </w:tr>
      <w:tr w:rsidR="00256E45" w:rsidRPr="008642FA" w:rsidTr="00C77CF0">
        <w:trPr>
          <w:trHeight w:val="539"/>
          <w:jc w:val="center"/>
        </w:trPr>
        <w:tc>
          <w:tcPr>
            <w:cnfStyle w:val="001000000000"/>
            <w:tcW w:w="2796" w:type="dxa"/>
            <w:tcBorders>
              <w:top w:val="nil"/>
            </w:tcBorders>
            <w:shd w:val="clear" w:color="auto" w:fill="auto"/>
            <w:vAlign w:val="center"/>
          </w:tcPr>
          <w:p w:rsidR="00256E45" w:rsidRPr="008642FA" w:rsidRDefault="00F647E6" w:rsidP="00C77CF0">
            <w:pPr>
              <w:spacing w:line="240" w:lineRule="auto"/>
              <w:jc w:val="both"/>
              <w:rPr>
                <w:rFonts w:ascii="Arial" w:eastAsia="Times New Roman" w:hAnsi="Arial" w:cs="Arial"/>
                <w:color w:val="000000"/>
                <w:sz w:val="24"/>
                <w:szCs w:val="24"/>
              </w:rPr>
            </w:pPr>
            <w:r w:rsidRPr="008642FA">
              <w:rPr>
                <w:rFonts w:ascii="Arial" w:eastAsia="Times New Roman" w:hAnsi="Arial" w:cs="Arial"/>
                <w:color w:val="000000"/>
                <w:sz w:val="24"/>
                <w:szCs w:val="24"/>
              </w:rPr>
              <w:t>Clearfil S3 Bond</w:t>
            </w:r>
          </w:p>
        </w:tc>
        <w:tc>
          <w:tcPr>
            <w:tcW w:w="2618" w:type="dxa"/>
            <w:tcBorders>
              <w:top w:val="nil"/>
            </w:tcBorders>
            <w:shd w:val="clear" w:color="auto" w:fill="auto"/>
            <w:vAlign w:val="center"/>
          </w:tcPr>
          <w:p w:rsidR="00256E45" w:rsidRPr="008642FA" w:rsidRDefault="00F647E6" w:rsidP="00C77CF0">
            <w:pPr>
              <w:spacing w:line="240" w:lineRule="auto"/>
              <w:jc w:val="center"/>
              <w:cnfStyle w:val="000000000000"/>
              <w:rPr>
                <w:rFonts w:ascii="Arial" w:eastAsia="Times New Roman" w:hAnsi="Arial" w:cs="Arial"/>
                <w:color w:val="00000A"/>
                <w:sz w:val="24"/>
                <w:szCs w:val="24"/>
              </w:rPr>
            </w:pPr>
            <w:r w:rsidRPr="008642FA">
              <w:rPr>
                <w:rFonts w:ascii="Arial" w:hAnsi="Arial" w:cs="Arial"/>
                <w:color w:val="00000A"/>
                <w:sz w:val="24"/>
                <w:szCs w:val="24"/>
              </w:rPr>
              <w:t>14,20±6,45</w:t>
            </w:r>
          </w:p>
        </w:tc>
        <w:tc>
          <w:tcPr>
            <w:tcW w:w="2619" w:type="dxa"/>
            <w:tcBorders>
              <w:top w:val="nil"/>
            </w:tcBorders>
            <w:shd w:val="clear" w:color="auto" w:fill="auto"/>
            <w:vAlign w:val="center"/>
          </w:tcPr>
          <w:p w:rsidR="00256E45" w:rsidRPr="008642FA" w:rsidRDefault="00F647E6" w:rsidP="00C77CF0">
            <w:pPr>
              <w:spacing w:line="240" w:lineRule="auto"/>
              <w:jc w:val="center"/>
              <w:cnfStyle w:val="000000000000"/>
              <w:rPr>
                <w:rFonts w:ascii="Arial" w:eastAsia="Times New Roman" w:hAnsi="Arial" w:cs="Arial"/>
                <w:color w:val="000000"/>
                <w:sz w:val="24"/>
                <w:szCs w:val="24"/>
              </w:rPr>
            </w:pPr>
            <w:r w:rsidRPr="008642FA">
              <w:rPr>
                <w:rFonts w:ascii="Arial" w:eastAsia="Times New Roman" w:hAnsi="Arial" w:cs="Arial"/>
                <w:color w:val="000000"/>
                <w:sz w:val="24"/>
                <w:szCs w:val="24"/>
              </w:rPr>
              <w:t>B</w:t>
            </w:r>
          </w:p>
        </w:tc>
      </w:tr>
    </w:tbl>
    <w:p w:rsidR="00256E45" w:rsidRPr="00C77CF0" w:rsidRDefault="00F647E6" w:rsidP="007155E9">
      <w:pPr>
        <w:spacing w:line="360" w:lineRule="auto"/>
        <w:ind w:firstLine="851"/>
        <w:jc w:val="both"/>
        <w:rPr>
          <w:rFonts w:ascii="Arial" w:hAnsi="Arial" w:cs="Arial"/>
          <w:sz w:val="20"/>
          <w:szCs w:val="24"/>
        </w:rPr>
      </w:pPr>
      <w:r w:rsidRPr="00C77CF0">
        <w:rPr>
          <w:rFonts w:ascii="Arial" w:hAnsi="Arial" w:cs="Arial"/>
          <w:sz w:val="20"/>
          <w:szCs w:val="24"/>
        </w:rPr>
        <w:t>*Médias seguidas de letras iguais não diferem estatisticamente entre si (p&gt;0,05).</w:t>
      </w:r>
    </w:p>
    <w:p w:rsidR="00256E45" w:rsidRPr="008642FA" w:rsidRDefault="00F647E6" w:rsidP="00C77CF0">
      <w:pPr>
        <w:spacing w:line="480" w:lineRule="auto"/>
        <w:jc w:val="both"/>
        <w:rPr>
          <w:rFonts w:ascii="Arial" w:hAnsi="Arial" w:cs="Arial"/>
          <w:sz w:val="24"/>
          <w:szCs w:val="24"/>
        </w:rPr>
      </w:pPr>
      <w:r w:rsidRPr="008642FA">
        <w:rPr>
          <w:rFonts w:ascii="Arial" w:hAnsi="Arial" w:cs="Arial"/>
          <w:sz w:val="24"/>
          <w:szCs w:val="24"/>
        </w:rPr>
        <w:tab/>
        <w:t>O Sistema Adesivo Single Bond Universal apresentou média de resistência de união significantemente superior ao Sistema Adesivo Clearfil S3 Bond.</w:t>
      </w:r>
    </w:p>
    <w:p w:rsidR="00256E45" w:rsidRPr="008642FA" w:rsidRDefault="00F647E6" w:rsidP="007155E9">
      <w:pPr>
        <w:pStyle w:val="SemEspaamento"/>
        <w:spacing w:line="480" w:lineRule="auto"/>
        <w:jc w:val="both"/>
        <w:rPr>
          <w:rFonts w:ascii="Arial" w:hAnsi="Arial" w:cs="Arial"/>
          <w:b/>
          <w:sz w:val="24"/>
          <w:szCs w:val="24"/>
        </w:rPr>
      </w:pPr>
      <w:r w:rsidRPr="008642FA">
        <w:rPr>
          <w:rFonts w:ascii="Arial" w:hAnsi="Arial" w:cs="Arial"/>
          <w:b/>
          <w:sz w:val="24"/>
          <w:szCs w:val="24"/>
        </w:rPr>
        <w:t>DISCUSSÃO</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 xml:space="preserve">De acordo com os resultados obtidos, o grupo infiltrado com o material resinoso Icon (DMG) mostrou-se semelhante ao grupo controle o que demonstra que a resistência </w:t>
      </w:r>
      <w:r w:rsidRPr="008642FA">
        <w:rPr>
          <w:rFonts w:ascii="Arial" w:hAnsi="Arial" w:cs="Arial"/>
          <w:sz w:val="24"/>
          <w:szCs w:val="24"/>
        </w:rPr>
        <w:lastRenderedPageBreak/>
        <w:t xml:space="preserve">de união não foi afetada quando o Icon (DMG) foi utilizado, devido à afinidade entre o monômero do material infiltrante </w:t>
      </w:r>
      <w:r w:rsidRPr="008642FA">
        <w:rPr>
          <w:rStyle w:val="apple-style-span"/>
          <w:rFonts w:ascii="Arial" w:hAnsi="Arial" w:cs="Arial"/>
          <w:sz w:val="24"/>
          <w:szCs w:val="24"/>
          <w:shd w:val="clear" w:color="auto" w:fill="FFFFFF"/>
        </w:rPr>
        <w:t xml:space="preserve">(Icon®–DMG) </w:t>
      </w:r>
      <w:r w:rsidRPr="008642FA">
        <w:rPr>
          <w:rFonts w:ascii="Arial" w:hAnsi="Arial" w:cs="Arial"/>
          <w:sz w:val="24"/>
          <w:szCs w:val="24"/>
        </w:rPr>
        <w:t>e o monômero resinoso do sistema adesivo para ambos os sistemas adesivos.</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 xml:space="preserve">Esses resultados concordam com Wiegand </w:t>
      </w:r>
      <w:r w:rsidRPr="008642FA">
        <w:rPr>
          <w:rFonts w:ascii="Arial" w:hAnsi="Arial" w:cs="Arial"/>
          <w:color w:val="000000"/>
          <w:sz w:val="24"/>
          <w:szCs w:val="24"/>
        </w:rPr>
        <w:t>[21]</w:t>
      </w:r>
      <w:r w:rsidRPr="008642FA">
        <w:rPr>
          <w:rFonts w:ascii="Arial" w:hAnsi="Arial" w:cs="Arial"/>
          <w:sz w:val="24"/>
          <w:szCs w:val="24"/>
        </w:rPr>
        <w:t xml:space="preserve"> onde foi relatado que </w:t>
      </w:r>
      <w:r w:rsidRPr="008642FA">
        <w:rPr>
          <w:rFonts w:ascii="Arial" w:eastAsia="Adobe Kaiti Std R" w:hAnsi="Arial" w:cs="Arial"/>
          <w:sz w:val="24"/>
          <w:szCs w:val="24"/>
        </w:rPr>
        <w:t>a utilização de um material infiltrante de cárie previamente à aplicação de um sistema adesivo convencional não interfere na resistência de união [22</w:t>
      </w:r>
      <w:r w:rsidRPr="008642FA">
        <w:rPr>
          <w:rFonts w:ascii="Arial" w:eastAsia="Adobe Kaiti Std R" w:hAnsi="Arial" w:cs="Arial"/>
          <w:color w:val="000000"/>
          <w:sz w:val="24"/>
          <w:szCs w:val="24"/>
        </w:rPr>
        <w:t>].</w:t>
      </w:r>
      <w:r w:rsidRPr="008642FA">
        <w:rPr>
          <w:rFonts w:ascii="Arial" w:eastAsia="Adobe Kaiti Std R" w:hAnsi="Arial" w:cs="Arial"/>
          <w:sz w:val="24"/>
          <w:szCs w:val="24"/>
        </w:rPr>
        <w:t>Assim pode-se notar que o uso de material infiltrante antes da aplicação de sistema adesivo não prejudica a resistência de união com o esmalte, ocorrendo, provavelmente, em virtude do preenchimento dos poros de uma lesão inicial de cárie pelo material infiltrante e pela compatibilidade entre os materiais utilizados.</w:t>
      </w:r>
    </w:p>
    <w:p w:rsidR="00256E45" w:rsidRPr="008642FA" w:rsidRDefault="00F647E6" w:rsidP="00C77CF0">
      <w:pPr>
        <w:spacing w:after="0" w:line="480" w:lineRule="auto"/>
        <w:ind w:firstLine="708"/>
        <w:jc w:val="both"/>
        <w:rPr>
          <w:rFonts w:ascii="Arial" w:hAnsi="Arial" w:cs="Arial"/>
          <w:sz w:val="24"/>
          <w:szCs w:val="24"/>
          <w:shd w:val="clear" w:color="auto" w:fill="F5F5F5"/>
        </w:rPr>
      </w:pPr>
      <w:r w:rsidRPr="008642FA">
        <w:rPr>
          <w:rFonts w:ascii="Arial" w:hAnsi="Arial" w:cs="Arial"/>
          <w:sz w:val="24"/>
          <w:szCs w:val="24"/>
        </w:rPr>
        <w:t>Os grupos que sofreram o processo de desmineralização e foram remineralizados com saliva artificial (B2) e flúor (B3), apresentaram os piores resultados, sendo que o grupo remineralizado com flúor pode tornar o esmalte hipercalcificado, dificultando a atuação do sistema adesivo autocondicionante. Ambos mostraram valores de resistência de união inferiores estatisticamente quando comparados ao esmalte infiltrado com Icon (DMG).</w:t>
      </w:r>
    </w:p>
    <w:p w:rsidR="00256E45" w:rsidRPr="008642FA" w:rsidRDefault="00F647E6" w:rsidP="00C77CF0">
      <w:pPr>
        <w:spacing w:after="0" w:line="480" w:lineRule="auto"/>
        <w:ind w:firstLine="708"/>
        <w:jc w:val="both"/>
        <w:rPr>
          <w:rFonts w:ascii="Arial" w:hAnsi="Arial" w:cs="Arial"/>
          <w:sz w:val="24"/>
          <w:szCs w:val="24"/>
        </w:rPr>
      </w:pPr>
      <w:r w:rsidRPr="008642FA">
        <w:rPr>
          <w:rFonts w:ascii="Arial" w:hAnsi="Arial" w:cs="Arial"/>
          <w:sz w:val="24"/>
          <w:szCs w:val="24"/>
        </w:rPr>
        <w:t>Em estudos anteriores, a ação da remineralização  com fluoretos altamente concentrados, como os encontrados em bochechos orais, foi observada e demonstrada para prevenir a progressão de lesões de cáries incipientes</w:t>
      </w:r>
      <w:r w:rsidRPr="008642FA">
        <w:rPr>
          <w:rFonts w:ascii="Arial" w:hAnsi="Arial" w:cs="Arial"/>
          <w:b/>
          <w:sz w:val="24"/>
          <w:szCs w:val="24"/>
        </w:rPr>
        <w:t>.</w:t>
      </w:r>
      <w:r w:rsidRPr="008642FA">
        <w:rPr>
          <w:rFonts w:ascii="Arial" w:hAnsi="Arial" w:cs="Arial"/>
          <w:sz w:val="24"/>
          <w:szCs w:val="24"/>
        </w:rPr>
        <w:t xml:space="preserve">No entanto, esta remineralização parece ser superficial. A porção interna da lesão do esmalte é mais suscetível à desmineralização, devido aos gradientes na solubilidade do esmalte, com o esmalte interno sendo mais solúvel em relação ao externo </w:t>
      </w:r>
      <w:r w:rsidRPr="008642FA">
        <w:rPr>
          <w:rFonts w:ascii="Arial" w:hAnsi="Arial" w:cs="Arial"/>
          <w:color w:val="000000"/>
          <w:sz w:val="24"/>
          <w:szCs w:val="24"/>
        </w:rPr>
        <w:t>[23-24].</w:t>
      </w:r>
    </w:p>
    <w:p w:rsidR="00256E45" w:rsidRPr="008642FA" w:rsidRDefault="00F647E6" w:rsidP="00C77CF0">
      <w:pPr>
        <w:spacing w:after="0" w:line="480" w:lineRule="auto"/>
        <w:ind w:firstLine="708"/>
        <w:jc w:val="both"/>
        <w:rPr>
          <w:rFonts w:ascii="Arial" w:hAnsi="Arial" w:cs="Arial"/>
          <w:sz w:val="24"/>
          <w:szCs w:val="24"/>
        </w:rPr>
      </w:pPr>
      <w:r w:rsidRPr="008642FA">
        <w:rPr>
          <w:rFonts w:ascii="Arial" w:hAnsi="Arial" w:cs="Arial"/>
          <w:sz w:val="24"/>
          <w:szCs w:val="24"/>
        </w:rPr>
        <w:t xml:space="preserve">Concentrações mais elevadas de flúor podem causar rápida precipitação de mineral  na superfície do esmalte e obturação dos poros dessa superficie que se conecta com a base da lesão desmineralizada. Este processo pode limitar ainda mais a remineralização da subsuperfície de esmalte desmineralizado.Idealmente, um sistema </w:t>
      </w:r>
      <w:r w:rsidRPr="008642FA">
        <w:rPr>
          <w:rFonts w:ascii="Arial" w:hAnsi="Arial" w:cs="Arial"/>
          <w:sz w:val="24"/>
          <w:szCs w:val="24"/>
        </w:rPr>
        <w:lastRenderedPageBreak/>
        <w:t xml:space="preserve">de remineralização deve favorecer o ganho mineral  na subsuperfície ao invés de deposição apenas na camada superficial </w:t>
      </w:r>
      <w:r w:rsidRPr="008642FA">
        <w:rPr>
          <w:rFonts w:ascii="Arial" w:hAnsi="Arial" w:cs="Arial"/>
          <w:color w:val="000000"/>
          <w:sz w:val="24"/>
          <w:szCs w:val="24"/>
        </w:rPr>
        <w:t>[25].</w:t>
      </w:r>
    </w:p>
    <w:p w:rsidR="00256E45" w:rsidRPr="008642FA" w:rsidRDefault="00F647E6" w:rsidP="00C77CF0">
      <w:pPr>
        <w:spacing w:after="0" w:line="480" w:lineRule="auto"/>
        <w:ind w:firstLine="708"/>
        <w:jc w:val="both"/>
        <w:rPr>
          <w:rFonts w:ascii="Arial" w:hAnsi="Arial" w:cs="Arial"/>
          <w:sz w:val="24"/>
          <w:szCs w:val="24"/>
        </w:rPr>
      </w:pPr>
      <w:r w:rsidRPr="008642FA">
        <w:rPr>
          <w:rFonts w:ascii="Arial" w:hAnsi="Arial" w:cs="Arial"/>
          <w:sz w:val="24"/>
          <w:szCs w:val="24"/>
          <w:lang w:eastAsia="pt-BR"/>
        </w:rPr>
        <w:t xml:space="preserve">No que se refere ao tipo de adesivo, pode-se observar que o sistema que utilizou o ácido fosfórico apresentou resultados estatisticamente superiores ao sistema autocondicionante, isso pode ter ocorrido em virtude do condicionamento ácido no esmalte promover microretenções e aumento da área de superfície, além de aumentar a energia de superfície o que facilita o molhamento do adesivo por meio da redução do ângulo de contato entre o adesivo e o tecido condicionado </w:t>
      </w:r>
      <w:r w:rsidRPr="008642FA">
        <w:rPr>
          <w:rFonts w:ascii="Arial" w:hAnsi="Arial" w:cs="Arial"/>
          <w:color w:val="000000"/>
          <w:sz w:val="24"/>
          <w:szCs w:val="24"/>
          <w:lang w:eastAsia="pt-BR"/>
        </w:rPr>
        <w:t>[26-27-28].</w:t>
      </w:r>
      <w:r w:rsidRPr="008642FA">
        <w:rPr>
          <w:rFonts w:ascii="Arial" w:hAnsi="Arial" w:cs="Arial"/>
          <w:sz w:val="24"/>
          <w:szCs w:val="24"/>
        </w:rPr>
        <w:t>Entretanto, o adesivo autocondicionante apresenta capacidade de infiltração menor na superfície dental, por se tratar de um condicionamento mais fraco, as microporosidades criadas na estrutura dental são menores, o que dificulta sua atuação e consequentemente promove uma menor resistência de união.</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 xml:space="preserve">Diante dos resultados obtidos, o tratamento restaurador pode ser indicado sobre a superfície tratada com material resinoso </w:t>
      </w:r>
      <w:r w:rsidRPr="008642FA">
        <w:rPr>
          <w:rStyle w:val="apple-style-span"/>
          <w:rFonts w:ascii="Arial" w:hAnsi="Arial" w:cs="Arial"/>
          <w:sz w:val="24"/>
          <w:szCs w:val="24"/>
          <w:shd w:val="clear" w:color="auto" w:fill="FFFFFF"/>
        </w:rPr>
        <w:t>(Icon®–DMG)</w:t>
      </w:r>
      <w:r w:rsidRPr="008642FA">
        <w:rPr>
          <w:rFonts w:ascii="Arial" w:hAnsi="Arial" w:cs="Arial"/>
          <w:sz w:val="24"/>
          <w:szCs w:val="24"/>
        </w:rPr>
        <w:t>, pois além deste não interferir negativamente na adesão da resina composta ao esmalte, mostrou-se superior estatisticamente aos demais grupos que foram submetidos à desmineralização.</w:t>
      </w:r>
    </w:p>
    <w:p w:rsidR="00256E45" w:rsidRPr="008642FA" w:rsidRDefault="00256E45" w:rsidP="00C77CF0">
      <w:pPr>
        <w:pStyle w:val="SemEspaamento"/>
        <w:spacing w:line="480" w:lineRule="auto"/>
        <w:ind w:firstLine="708"/>
        <w:jc w:val="both"/>
        <w:rPr>
          <w:rFonts w:ascii="Arial" w:hAnsi="Arial" w:cs="Arial"/>
          <w:b/>
          <w:sz w:val="24"/>
          <w:szCs w:val="24"/>
        </w:rPr>
      </w:pPr>
    </w:p>
    <w:p w:rsidR="00256E45" w:rsidRPr="008642FA" w:rsidRDefault="00F647E6" w:rsidP="007155E9">
      <w:pPr>
        <w:pStyle w:val="SemEspaamento"/>
        <w:spacing w:line="480" w:lineRule="auto"/>
        <w:jc w:val="both"/>
        <w:rPr>
          <w:rFonts w:ascii="Arial" w:hAnsi="Arial" w:cs="Arial"/>
          <w:b/>
          <w:sz w:val="24"/>
          <w:szCs w:val="24"/>
        </w:rPr>
      </w:pPr>
      <w:r w:rsidRPr="008642FA">
        <w:rPr>
          <w:rFonts w:ascii="Arial" w:hAnsi="Arial" w:cs="Arial"/>
          <w:b/>
          <w:sz w:val="24"/>
          <w:szCs w:val="24"/>
        </w:rPr>
        <w:t>CONCLUSÃO</w:t>
      </w:r>
    </w:p>
    <w:p w:rsidR="00256E45" w:rsidRPr="008642FA" w:rsidRDefault="00F647E6" w:rsidP="00C77CF0">
      <w:pPr>
        <w:pStyle w:val="SemEspaamento"/>
        <w:spacing w:line="480" w:lineRule="auto"/>
        <w:ind w:firstLine="708"/>
        <w:jc w:val="both"/>
        <w:rPr>
          <w:rFonts w:ascii="Arial" w:hAnsi="Arial" w:cs="Arial"/>
          <w:sz w:val="24"/>
          <w:szCs w:val="24"/>
        </w:rPr>
      </w:pPr>
      <w:r w:rsidRPr="008642FA">
        <w:rPr>
          <w:rFonts w:ascii="Arial" w:hAnsi="Arial" w:cs="Arial"/>
          <w:sz w:val="24"/>
          <w:szCs w:val="24"/>
        </w:rPr>
        <w:t xml:space="preserve">Conclui-se que a superfície infiltrada com o Icon (DMG) não interferiu negativamente na resistência de união da resina composta e os grupos que foram desmineralizados e </w:t>
      </w:r>
      <w:bookmarkStart w:id="1" w:name="_GoBack"/>
      <w:bookmarkEnd w:id="1"/>
      <w:r w:rsidRPr="008642FA">
        <w:rPr>
          <w:rFonts w:ascii="Arial" w:hAnsi="Arial" w:cs="Arial"/>
          <w:sz w:val="24"/>
          <w:szCs w:val="24"/>
        </w:rPr>
        <w:t>remineralizados com flúor e saliva artificial apresentaram valores estatisticamente inferiores.</w:t>
      </w:r>
    </w:p>
    <w:p w:rsidR="00256E45" w:rsidRPr="008642FA" w:rsidRDefault="00256E45">
      <w:pPr>
        <w:pStyle w:val="SemEspaamento"/>
        <w:spacing w:line="360" w:lineRule="auto"/>
        <w:ind w:firstLine="708"/>
        <w:jc w:val="both"/>
        <w:rPr>
          <w:rFonts w:ascii="Arial" w:hAnsi="Arial" w:cs="Arial"/>
          <w:color w:val="FF0000"/>
          <w:sz w:val="24"/>
          <w:szCs w:val="24"/>
        </w:rPr>
      </w:pPr>
    </w:p>
    <w:p w:rsidR="00256E45" w:rsidRPr="008642FA" w:rsidRDefault="00F647E6" w:rsidP="007155E9">
      <w:pPr>
        <w:pStyle w:val="SemEspaamento"/>
        <w:spacing w:line="360" w:lineRule="auto"/>
        <w:jc w:val="both"/>
        <w:rPr>
          <w:rFonts w:ascii="Arial" w:hAnsi="Arial" w:cs="Arial"/>
          <w:b/>
          <w:sz w:val="24"/>
          <w:szCs w:val="24"/>
        </w:rPr>
      </w:pPr>
      <w:r w:rsidRPr="008642FA">
        <w:rPr>
          <w:rFonts w:ascii="Arial" w:hAnsi="Arial" w:cs="Arial"/>
          <w:b/>
          <w:sz w:val="24"/>
          <w:szCs w:val="24"/>
        </w:rPr>
        <w:t>REFERÊNCIAS</w:t>
      </w:r>
    </w:p>
    <w:p w:rsidR="00256E45" w:rsidRPr="008642FA" w:rsidRDefault="00256E45">
      <w:pPr>
        <w:pStyle w:val="SemEspaamento"/>
        <w:spacing w:line="360" w:lineRule="auto"/>
        <w:ind w:firstLine="708"/>
        <w:jc w:val="both"/>
        <w:rPr>
          <w:rFonts w:ascii="Arial" w:hAnsi="Arial" w:cs="Arial"/>
          <w:b/>
          <w:sz w:val="24"/>
          <w:szCs w:val="24"/>
        </w:rPr>
      </w:pPr>
    </w:p>
    <w:p w:rsidR="00256E45" w:rsidRPr="008642FA" w:rsidRDefault="00F647E6">
      <w:pPr>
        <w:pStyle w:val="SemEspaamentoVerdana"/>
        <w:numPr>
          <w:ilvl w:val="0"/>
          <w:numId w:val="3"/>
        </w:numPr>
        <w:rPr>
          <w:rFonts w:ascii="Arial" w:hAnsi="Arial" w:cs="Arial"/>
          <w:color w:val="000000"/>
          <w:sz w:val="24"/>
          <w:szCs w:val="24"/>
        </w:rPr>
      </w:pPr>
      <w:r w:rsidRPr="008642FA">
        <w:rPr>
          <w:rFonts w:ascii="Arial" w:hAnsi="Arial" w:cs="Arial"/>
          <w:color w:val="000000"/>
          <w:sz w:val="24"/>
          <w:szCs w:val="24"/>
        </w:rPr>
        <w:t>T</w:t>
      </w:r>
      <w:r w:rsidR="005A1235" w:rsidRPr="008642FA">
        <w:rPr>
          <w:rFonts w:ascii="Arial" w:hAnsi="Arial" w:cs="Arial"/>
          <w:color w:val="000000"/>
          <w:sz w:val="24"/>
          <w:szCs w:val="24"/>
        </w:rPr>
        <w:t>en</w:t>
      </w:r>
      <w:r w:rsidRPr="008642FA">
        <w:rPr>
          <w:rFonts w:ascii="Arial" w:hAnsi="Arial" w:cs="Arial"/>
          <w:color w:val="000000"/>
          <w:sz w:val="24"/>
          <w:szCs w:val="24"/>
        </w:rPr>
        <w:t xml:space="preserve"> C</w:t>
      </w:r>
      <w:r w:rsidR="005A1235" w:rsidRPr="008642FA">
        <w:rPr>
          <w:rFonts w:ascii="Arial" w:hAnsi="Arial" w:cs="Arial"/>
          <w:color w:val="000000"/>
          <w:sz w:val="24"/>
          <w:szCs w:val="24"/>
        </w:rPr>
        <w:t>ate</w:t>
      </w:r>
      <w:r w:rsidRPr="008642FA">
        <w:rPr>
          <w:rFonts w:ascii="Arial" w:hAnsi="Arial" w:cs="Arial"/>
          <w:color w:val="000000"/>
          <w:sz w:val="24"/>
          <w:szCs w:val="24"/>
        </w:rPr>
        <w:t>, JM, L</w:t>
      </w:r>
      <w:r w:rsidR="005A1235" w:rsidRPr="008642FA">
        <w:rPr>
          <w:rFonts w:ascii="Arial" w:hAnsi="Arial" w:cs="Arial"/>
          <w:color w:val="000000"/>
          <w:sz w:val="24"/>
          <w:szCs w:val="24"/>
        </w:rPr>
        <w:t>arsen</w:t>
      </w:r>
      <w:r w:rsidRPr="008642FA">
        <w:rPr>
          <w:rFonts w:ascii="Arial" w:hAnsi="Arial" w:cs="Arial"/>
          <w:color w:val="000000"/>
          <w:sz w:val="24"/>
          <w:szCs w:val="24"/>
        </w:rPr>
        <w:t xml:space="preserve"> MJ, P</w:t>
      </w:r>
      <w:r w:rsidR="005A1235" w:rsidRPr="008642FA">
        <w:rPr>
          <w:rFonts w:ascii="Arial" w:hAnsi="Arial" w:cs="Arial"/>
          <w:color w:val="000000"/>
          <w:sz w:val="24"/>
          <w:szCs w:val="24"/>
        </w:rPr>
        <w:t>earce</w:t>
      </w:r>
      <w:r w:rsidRPr="008642FA">
        <w:rPr>
          <w:rFonts w:ascii="Arial" w:hAnsi="Arial" w:cs="Arial"/>
          <w:color w:val="000000"/>
          <w:sz w:val="24"/>
          <w:szCs w:val="24"/>
        </w:rPr>
        <w:t xml:space="preserve"> EIF, F</w:t>
      </w:r>
      <w:r w:rsidR="005A1235" w:rsidRPr="008642FA">
        <w:rPr>
          <w:rFonts w:ascii="Arial" w:hAnsi="Arial" w:cs="Arial"/>
          <w:color w:val="000000"/>
          <w:sz w:val="24"/>
          <w:szCs w:val="24"/>
        </w:rPr>
        <w:t>ejerskov</w:t>
      </w:r>
      <w:r w:rsidRPr="008642FA">
        <w:rPr>
          <w:rFonts w:ascii="Arial" w:hAnsi="Arial" w:cs="Arial"/>
          <w:color w:val="000000"/>
          <w:sz w:val="24"/>
          <w:szCs w:val="24"/>
        </w:rPr>
        <w:t>, O. Cárie Dentária – A doença e seu tratamento clínico. Livraria Santos Editora Ltda.; 2005.</w:t>
      </w:r>
    </w:p>
    <w:p w:rsidR="00256E45" w:rsidRPr="008642FA" w:rsidRDefault="00F647E6">
      <w:pPr>
        <w:pStyle w:val="PargrafodaLista"/>
        <w:numPr>
          <w:ilvl w:val="0"/>
          <w:numId w:val="3"/>
        </w:numPr>
        <w:spacing w:line="360" w:lineRule="auto"/>
        <w:jc w:val="both"/>
        <w:rPr>
          <w:rFonts w:ascii="Arial" w:hAnsi="Arial" w:cs="Arial"/>
          <w:sz w:val="24"/>
          <w:szCs w:val="24"/>
        </w:rPr>
      </w:pPr>
      <w:r w:rsidRPr="008642FA">
        <w:rPr>
          <w:rFonts w:ascii="Arial" w:hAnsi="Arial" w:cs="Arial"/>
          <w:sz w:val="24"/>
          <w:szCs w:val="24"/>
        </w:rPr>
        <w:lastRenderedPageBreak/>
        <w:t>T</w:t>
      </w:r>
      <w:r w:rsidR="005A1235" w:rsidRPr="008642FA">
        <w:rPr>
          <w:rFonts w:ascii="Arial" w:hAnsi="Arial" w:cs="Arial"/>
          <w:sz w:val="24"/>
          <w:szCs w:val="24"/>
        </w:rPr>
        <w:t>orres</w:t>
      </w:r>
      <w:r w:rsidRPr="008642FA">
        <w:rPr>
          <w:rFonts w:ascii="Arial" w:hAnsi="Arial" w:cs="Arial"/>
          <w:sz w:val="24"/>
          <w:szCs w:val="24"/>
        </w:rPr>
        <w:t>, CRG- Odontologia Restauradora Estética e Funcional. Editora Santos.; 2013</w:t>
      </w: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Fejerskov O, Kidd EAM. Dental caries, the disease and its clinical management. London, Blackwell Munksgaard, 2003.</w:t>
      </w: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Featherstone JD. The caries balance: the basis for caries management by risk assessment. Oral Health Prev Dent. 2004;2(1):259-64.</w:t>
      </w: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rPr>
        <w:t xml:space="preserve">Torres CRG, Borges AB, Torres LM, Gomes IS, de Oliveira RS. </w:t>
      </w:r>
      <w:r w:rsidRPr="008642FA">
        <w:rPr>
          <w:rFonts w:ascii="Arial" w:hAnsi="Arial" w:cs="Arial"/>
          <w:sz w:val="24"/>
          <w:szCs w:val="24"/>
          <w:lang w:val="en-US"/>
        </w:rPr>
        <w:t>Effect of caries infiltration technique and fluoride therapy on the colour masking of white spot lesions. J Dent. 2011</w:t>
      </w:r>
      <w:r w:rsidR="005A1235" w:rsidRPr="005A1235">
        <w:rPr>
          <w:rFonts w:ascii="Arial" w:hAnsi="Arial" w:cs="Arial"/>
          <w:sz w:val="24"/>
          <w:szCs w:val="24"/>
          <w:lang w:val="en-US"/>
        </w:rPr>
        <w:t xml:space="preserve"> </w:t>
      </w:r>
      <w:r w:rsidR="005A1235" w:rsidRPr="008642FA">
        <w:rPr>
          <w:rFonts w:ascii="Arial" w:hAnsi="Arial" w:cs="Arial"/>
          <w:sz w:val="24"/>
          <w:szCs w:val="24"/>
          <w:lang w:val="en-US"/>
        </w:rPr>
        <w:t>Mar</w:t>
      </w:r>
      <w:r w:rsidRPr="008642FA">
        <w:rPr>
          <w:rFonts w:ascii="Arial" w:hAnsi="Arial" w:cs="Arial"/>
          <w:sz w:val="24"/>
          <w:szCs w:val="24"/>
          <w:lang w:val="en-US"/>
        </w:rPr>
        <w:t>;39(3):202-7.</w:t>
      </w: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rPr>
        <w:t xml:space="preserve">Torres CRG, Rosa PCF, Ferreira NS, Borges AB. </w:t>
      </w:r>
      <w:r w:rsidRPr="008642FA">
        <w:rPr>
          <w:rFonts w:ascii="Arial" w:hAnsi="Arial" w:cs="Arial"/>
          <w:sz w:val="24"/>
          <w:szCs w:val="24"/>
          <w:lang w:val="en-US"/>
        </w:rPr>
        <w:t>Effect of Caries Infiltration Technique and Fluoride Therapy on Microhardness of Enamel Carious Lesions. Oper Dent. 2012; 37-3.</w:t>
      </w:r>
    </w:p>
    <w:p w:rsidR="00256E45" w:rsidRPr="008642FA" w:rsidRDefault="00F647E6">
      <w:pPr>
        <w:pStyle w:val="SemEspaamentoVerdana"/>
        <w:numPr>
          <w:ilvl w:val="0"/>
          <w:numId w:val="3"/>
        </w:numPr>
        <w:rPr>
          <w:rFonts w:ascii="Arial" w:hAnsi="Arial" w:cs="Arial"/>
          <w:i/>
          <w:iCs/>
          <w:color w:val="000000"/>
          <w:sz w:val="24"/>
          <w:szCs w:val="24"/>
          <w:lang w:val="en-US"/>
        </w:rPr>
      </w:pPr>
      <w:r w:rsidRPr="008642FA">
        <w:rPr>
          <w:rFonts w:ascii="Arial" w:hAnsi="Arial" w:cs="Arial"/>
          <w:color w:val="000000"/>
          <w:sz w:val="24"/>
          <w:szCs w:val="24"/>
          <w:lang w:val="en-US"/>
        </w:rPr>
        <w:t>W</w:t>
      </w:r>
      <w:r w:rsidR="005A1235" w:rsidRPr="008642FA">
        <w:rPr>
          <w:rFonts w:ascii="Arial" w:hAnsi="Arial" w:cs="Arial"/>
          <w:color w:val="000000"/>
          <w:sz w:val="24"/>
          <w:szCs w:val="24"/>
          <w:lang w:val="en-US"/>
        </w:rPr>
        <w:t>erheijn</w:t>
      </w:r>
      <w:r w:rsidR="00762DD3">
        <w:rPr>
          <w:rFonts w:ascii="Arial" w:hAnsi="Arial" w:cs="Arial"/>
          <w:color w:val="000000"/>
          <w:sz w:val="24"/>
          <w:szCs w:val="24"/>
          <w:lang w:val="en-US"/>
        </w:rPr>
        <w:t xml:space="preserve"> KL</w:t>
      </w:r>
      <w:r w:rsidR="00ED1E7D">
        <w:rPr>
          <w:rFonts w:ascii="Arial" w:hAnsi="Arial" w:cs="Arial"/>
          <w:color w:val="000000"/>
          <w:sz w:val="24"/>
          <w:szCs w:val="24"/>
          <w:lang w:val="en-US"/>
        </w:rPr>
        <w:t>,</w:t>
      </w:r>
      <w:r w:rsidRPr="008642FA">
        <w:rPr>
          <w:rFonts w:ascii="Arial" w:hAnsi="Arial" w:cs="Arial"/>
          <w:color w:val="000000"/>
          <w:sz w:val="24"/>
          <w:szCs w:val="24"/>
          <w:lang w:val="en-US"/>
        </w:rPr>
        <w:t xml:space="preserve"> K</w:t>
      </w:r>
      <w:r w:rsidR="005A1235" w:rsidRPr="008642FA">
        <w:rPr>
          <w:rFonts w:ascii="Arial" w:hAnsi="Arial" w:cs="Arial"/>
          <w:color w:val="000000"/>
          <w:sz w:val="24"/>
          <w:szCs w:val="24"/>
          <w:lang w:val="en-US"/>
        </w:rPr>
        <w:t>reulen</w:t>
      </w:r>
      <w:r w:rsidR="00ED1E7D">
        <w:rPr>
          <w:rFonts w:ascii="Arial" w:hAnsi="Arial" w:cs="Arial"/>
          <w:color w:val="000000"/>
          <w:sz w:val="24"/>
          <w:szCs w:val="24"/>
          <w:lang w:val="en-US"/>
        </w:rPr>
        <w:t xml:space="preserve"> CM,</w:t>
      </w:r>
      <w:r w:rsidRPr="008642FA">
        <w:rPr>
          <w:rFonts w:ascii="Arial" w:hAnsi="Arial" w:cs="Arial"/>
          <w:color w:val="000000"/>
          <w:sz w:val="24"/>
          <w:szCs w:val="24"/>
          <w:lang w:val="en-US"/>
        </w:rPr>
        <w:t xml:space="preserve"> de S</w:t>
      </w:r>
      <w:r w:rsidR="005A1235" w:rsidRPr="008642FA">
        <w:rPr>
          <w:rFonts w:ascii="Arial" w:hAnsi="Arial" w:cs="Arial"/>
          <w:color w:val="000000"/>
          <w:sz w:val="24"/>
          <w:szCs w:val="24"/>
          <w:lang w:val="en-US"/>
        </w:rPr>
        <w:t>oet</w:t>
      </w:r>
      <w:r w:rsidRPr="008642FA">
        <w:rPr>
          <w:rFonts w:ascii="Arial" w:hAnsi="Arial" w:cs="Arial"/>
          <w:color w:val="000000"/>
          <w:sz w:val="24"/>
          <w:szCs w:val="24"/>
          <w:lang w:val="en-US"/>
        </w:rPr>
        <w:t xml:space="preserve">, </w:t>
      </w:r>
      <w:r w:rsidR="00ED1E7D">
        <w:rPr>
          <w:rFonts w:ascii="Arial" w:hAnsi="Arial" w:cs="Arial"/>
          <w:color w:val="000000"/>
          <w:sz w:val="24"/>
          <w:szCs w:val="24"/>
          <w:lang w:val="en-US"/>
        </w:rPr>
        <w:t>JJ</w:t>
      </w:r>
      <w:r w:rsidRPr="008642FA">
        <w:rPr>
          <w:rFonts w:ascii="Arial" w:hAnsi="Arial" w:cs="Arial"/>
          <w:color w:val="000000"/>
          <w:sz w:val="24"/>
          <w:szCs w:val="24"/>
          <w:lang w:val="en-US"/>
        </w:rPr>
        <w:t xml:space="preserve"> et al. Bacterial counts in carious dentin under restaurations: 2-year in vivo effects. </w:t>
      </w:r>
      <w:r w:rsidRPr="00ED1E7D">
        <w:rPr>
          <w:rFonts w:ascii="Arial" w:hAnsi="Arial" w:cs="Arial"/>
          <w:iCs/>
          <w:color w:val="000000"/>
          <w:sz w:val="24"/>
          <w:szCs w:val="24"/>
          <w:lang w:val="en-US"/>
        </w:rPr>
        <w:t>Caries Res</w:t>
      </w:r>
      <w:r w:rsidR="00ED1E7D">
        <w:rPr>
          <w:rFonts w:ascii="Arial" w:hAnsi="Arial" w:cs="Arial"/>
          <w:i/>
          <w:iCs/>
          <w:color w:val="000000"/>
          <w:sz w:val="24"/>
          <w:szCs w:val="24"/>
          <w:lang w:val="en-US"/>
        </w:rPr>
        <w:t>.</w:t>
      </w:r>
      <w:r w:rsidR="00ED1E7D" w:rsidRPr="00ED1E7D">
        <w:rPr>
          <w:rFonts w:ascii="Arial" w:hAnsi="Arial" w:cs="Arial"/>
          <w:iCs/>
          <w:color w:val="000000"/>
          <w:sz w:val="24"/>
          <w:szCs w:val="24"/>
          <w:lang w:val="en-US"/>
        </w:rPr>
        <w:t xml:space="preserve">1999; </w:t>
      </w:r>
      <w:r w:rsidRPr="00ED1E7D">
        <w:rPr>
          <w:rFonts w:ascii="Arial" w:hAnsi="Arial" w:cs="Arial"/>
          <w:iCs/>
          <w:color w:val="000000"/>
          <w:sz w:val="24"/>
          <w:szCs w:val="24"/>
          <w:lang w:val="en-US"/>
        </w:rPr>
        <w:t>33</w:t>
      </w:r>
      <w:r w:rsidR="00ED1E7D" w:rsidRPr="00ED1E7D">
        <w:rPr>
          <w:rFonts w:ascii="Arial" w:hAnsi="Arial" w:cs="Arial"/>
          <w:iCs/>
          <w:color w:val="000000"/>
          <w:sz w:val="24"/>
          <w:szCs w:val="24"/>
          <w:lang w:val="en-US"/>
        </w:rPr>
        <w:t>(</w:t>
      </w:r>
      <w:r w:rsidRPr="00ED1E7D">
        <w:rPr>
          <w:rFonts w:ascii="Arial" w:hAnsi="Arial" w:cs="Arial"/>
          <w:iCs/>
          <w:color w:val="000000"/>
          <w:sz w:val="24"/>
          <w:szCs w:val="24"/>
          <w:lang w:val="en-US"/>
        </w:rPr>
        <w:t>2</w:t>
      </w:r>
      <w:r w:rsidR="00ED1E7D" w:rsidRPr="00ED1E7D">
        <w:rPr>
          <w:rFonts w:ascii="Arial" w:hAnsi="Arial" w:cs="Arial"/>
          <w:iCs/>
          <w:color w:val="000000"/>
          <w:sz w:val="24"/>
          <w:szCs w:val="24"/>
          <w:lang w:val="en-US"/>
        </w:rPr>
        <w:t>):</w:t>
      </w:r>
      <w:r w:rsidRPr="00ED1E7D">
        <w:rPr>
          <w:rFonts w:ascii="Arial" w:hAnsi="Arial" w:cs="Arial"/>
          <w:iCs/>
          <w:color w:val="000000"/>
          <w:sz w:val="24"/>
          <w:szCs w:val="24"/>
          <w:lang w:val="en-US"/>
        </w:rPr>
        <w:t>130-4</w:t>
      </w:r>
      <w:r w:rsidRPr="008642FA">
        <w:rPr>
          <w:rFonts w:ascii="Arial" w:hAnsi="Arial" w:cs="Arial"/>
          <w:i/>
          <w:iCs/>
          <w:color w:val="000000"/>
          <w:sz w:val="24"/>
          <w:szCs w:val="24"/>
          <w:lang w:val="en-US"/>
        </w:rPr>
        <w:t>.</w:t>
      </w:r>
    </w:p>
    <w:p w:rsidR="00256E45" w:rsidRPr="008642FA" w:rsidRDefault="00F647E6">
      <w:pPr>
        <w:pStyle w:val="SemEspaamentoVerdana"/>
        <w:numPr>
          <w:ilvl w:val="0"/>
          <w:numId w:val="3"/>
        </w:numPr>
        <w:rPr>
          <w:rFonts w:ascii="Arial" w:hAnsi="Arial" w:cs="Arial"/>
          <w:color w:val="000000"/>
          <w:sz w:val="24"/>
          <w:szCs w:val="24"/>
          <w:lang w:val="en-US"/>
        </w:rPr>
      </w:pPr>
      <w:r w:rsidRPr="008642FA">
        <w:rPr>
          <w:rFonts w:ascii="Arial" w:hAnsi="Arial" w:cs="Arial"/>
          <w:color w:val="000000"/>
          <w:sz w:val="24"/>
          <w:szCs w:val="24"/>
          <w:lang w:val="en-US"/>
        </w:rPr>
        <w:t>H</w:t>
      </w:r>
      <w:r w:rsidR="00762DD3" w:rsidRPr="008642FA">
        <w:rPr>
          <w:rFonts w:ascii="Arial" w:hAnsi="Arial" w:cs="Arial"/>
          <w:color w:val="000000"/>
          <w:sz w:val="24"/>
          <w:szCs w:val="24"/>
          <w:lang w:val="en-US"/>
        </w:rPr>
        <w:t>orowitz</w:t>
      </w:r>
      <w:r w:rsidR="00762DD3">
        <w:rPr>
          <w:rFonts w:ascii="Arial" w:hAnsi="Arial" w:cs="Arial"/>
          <w:color w:val="000000"/>
          <w:sz w:val="24"/>
          <w:szCs w:val="24"/>
          <w:lang w:val="en-US"/>
        </w:rPr>
        <w:t xml:space="preserve"> A</w:t>
      </w:r>
      <w:r w:rsidRPr="008642FA">
        <w:rPr>
          <w:rFonts w:ascii="Arial" w:hAnsi="Arial" w:cs="Arial"/>
          <w:color w:val="000000"/>
          <w:sz w:val="24"/>
          <w:szCs w:val="24"/>
          <w:lang w:val="en-US"/>
        </w:rPr>
        <w:t>M. Introduction to the symposium on minimal interven</w:t>
      </w:r>
      <w:r w:rsidR="00762DD3">
        <w:rPr>
          <w:rFonts w:ascii="Arial" w:hAnsi="Arial" w:cs="Arial"/>
          <w:color w:val="000000"/>
          <w:sz w:val="24"/>
          <w:szCs w:val="24"/>
          <w:lang w:val="en-US"/>
        </w:rPr>
        <w:t xml:space="preserve">ction techniques for caries. J </w:t>
      </w:r>
      <w:r w:rsidRPr="008642FA">
        <w:rPr>
          <w:rFonts w:ascii="Arial" w:hAnsi="Arial" w:cs="Arial"/>
          <w:color w:val="000000"/>
          <w:sz w:val="24"/>
          <w:szCs w:val="24"/>
          <w:lang w:val="en-US"/>
        </w:rPr>
        <w:t>Public Health Dent.</w:t>
      </w:r>
      <w:r w:rsidR="00762DD3">
        <w:rPr>
          <w:rFonts w:ascii="Arial" w:hAnsi="Arial" w:cs="Arial"/>
          <w:color w:val="000000"/>
          <w:sz w:val="24"/>
          <w:szCs w:val="24"/>
          <w:lang w:val="en-US"/>
        </w:rPr>
        <w:t xml:space="preserve"> 1996; </w:t>
      </w:r>
      <w:r w:rsidRPr="008642FA">
        <w:rPr>
          <w:rFonts w:ascii="Arial" w:hAnsi="Arial" w:cs="Arial"/>
          <w:color w:val="000000"/>
          <w:sz w:val="24"/>
          <w:szCs w:val="24"/>
          <w:lang w:val="en-US"/>
        </w:rPr>
        <w:t>56</w:t>
      </w:r>
      <w:r w:rsidR="00762DD3">
        <w:rPr>
          <w:rFonts w:ascii="Arial" w:hAnsi="Arial" w:cs="Arial"/>
          <w:color w:val="000000"/>
          <w:sz w:val="24"/>
          <w:szCs w:val="24"/>
          <w:lang w:val="en-US"/>
        </w:rPr>
        <w:t>(</w:t>
      </w:r>
      <w:r w:rsidRPr="008642FA">
        <w:rPr>
          <w:rFonts w:ascii="Arial" w:hAnsi="Arial" w:cs="Arial"/>
          <w:color w:val="000000"/>
          <w:sz w:val="24"/>
          <w:szCs w:val="24"/>
          <w:lang w:val="en-US"/>
        </w:rPr>
        <w:t>3</w:t>
      </w:r>
      <w:r w:rsidR="00762DD3">
        <w:rPr>
          <w:rFonts w:ascii="Arial" w:hAnsi="Arial" w:cs="Arial"/>
          <w:color w:val="000000"/>
          <w:sz w:val="24"/>
          <w:szCs w:val="24"/>
          <w:lang w:val="en-US"/>
        </w:rPr>
        <w:t>):133-4.</w:t>
      </w:r>
    </w:p>
    <w:p w:rsidR="00256E45" w:rsidRPr="008642FA" w:rsidRDefault="00F647E6">
      <w:pPr>
        <w:pStyle w:val="SemEspaamentoVerdana"/>
        <w:numPr>
          <w:ilvl w:val="0"/>
          <w:numId w:val="3"/>
        </w:numPr>
        <w:rPr>
          <w:rFonts w:ascii="Arial" w:hAnsi="Arial" w:cs="Arial"/>
          <w:color w:val="000000"/>
          <w:sz w:val="24"/>
          <w:szCs w:val="24"/>
          <w:lang w:val="en-US"/>
        </w:rPr>
      </w:pPr>
      <w:r w:rsidRPr="008642FA">
        <w:rPr>
          <w:rFonts w:ascii="Arial" w:hAnsi="Arial" w:cs="Arial"/>
          <w:color w:val="000000"/>
          <w:sz w:val="24"/>
          <w:szCs w:val="24"/>
          <w:lang w:val="en-US"/>
        </w:rPr>
        <w:t>H</w:t>
      </w:r>
      <w:r w:rsidR="00762DD3" w:rsidRPr="008642FA">
        <w:rPr>
          <w:rFonts w:ascii="Arial" w:hAnsi="Arial" w:cs="Arial"/>
          <w:color w:val="000000"/>
          <w:sz w:val="24"/>
          <w:szCs w:val="24"/>
          <w:lang w:val="en-US"/>
        </w:rPr>
        <w:t>osoda</w:t>
      </w:r>
      <w:r w:rsidR="00C153C5">
        <w:rPr>
          <w:rFonts w:ascii="Arial" w:hAnsi="Arial" w:cs="Arial"/>
          <w:color w:val="000000"/>
          <w:sz w:val="24"/>
          <w:szCs w:val="24"/>
          <w:lang w:val="en-US"/>
        </w:rPr>
        <w:t xml:space="preserve"> H,</w:t>
      </w:r>
      <w:r w:rsidRPr="008642FA">
        <w:rPr>
          <w:rFonts w:ascii="Arial" w:hAnsi="Arial" w:cs="Arial"/>
          <w:color w:val="000000"/>
          <w:sz w:val="24"/>
          <w:szCs w:val="24"/>
          <w:lang w:val="en-US"/>
        </w:rPr>
        <w:t xml:space="preserve"> F</w:t>
      </w:r>
      <w:r w:rsidR="00762DD3" w:rsidRPr="008642FA">
        <w:rPr>
          <w:rFonts w:ascii="Arial" w:hAnsi="Arial" w:cs="Arial"/>
          <w:color w:val="000000"/>
          <w:sz w:val="24"/>
          <w:szCs w:val="24"/>
          <w:lang w:val="en-US"/>
        </w:rPr>
        <w:t>usayama</w:t>
      </w:r>
      <w:r w:rsidRPr="008642FA">
        <w:rPr>
          <w:rFonts w:ascii="Arial" w:hAnsi="Arial" w:cs="Arial"/>
          <w:color w:val="000000"/>
          <w:sz w:val="24"/>
          <w:szCs w:val="24"/>
          <w:lang w:val="en-US"/>
        </w:rPr>
        <w:t xml:space="preserve"> T. A tooth substance saving</w:t>
      </w:r>
      <w:r w:rsidR="00C153C5">
        <w:rPr>
          <w:rFonts w:ascii="Arial" w:hAnsi="Arial" w:cs="Arial"/>
          <w:color w:val="000000"/>
          <w:sz w:val="24"/>
          <w:szCs w:val="24"/>
          <w:lang w:val="en-US"/>
        </w:rPr>
        <w:t xml:space="preserve"> restaurative technique. Inter </w:t>
      </w:r>
      <w:r w:rsidRPr="008642FA">
        <w:rPr>
          <w:rFonts w:ascii="Arial" w:hAnsi="Arial" w:cs="Arial"/>
          <w:color w:val="000000"/>
          <w:sz w:val="24"/>
          <w:szCs w:val="24"/>
          <w:lang w:val="en-US"/>
        </w:rPr>
        <w:t>Dent J</w:t>
      </w:r>
      <w:r w:rsidR="00C153C5">
        <w:rPr>
          <w:rFonts w:ascii="Arial" w:hAnsi="Arial" w:cs="Arial"/>
          <w:color w:val="000000"/>
          <w:sz w:val="24"/>
          <w:szCs w:val="24"/>
          <w:lang w:val="en-US"/>
        </w:rPr>
        <w:t xml:space="preserve">. 1984; </w:t>
      </w:r>
      <w:r w:rsidRPr="008642FA">
        <w:rPr>
          <w:rFonts w:ascii="Arial" w:hAnsi="Arial" w:cs="Arial"/>
          <w:color w:val="000000"/>
          <w:sz w:val="24"/>
          <w:szCs w:val="24"/>
          <w:lang w:val="en-US"/>
        </w:rPr>
        <w:t>34</w:t>
      </w:r>
      <w:r w:rsidR="00C153C5">
        <w:rPr>
          <w:rFonts w:ascii="Arial" w:hAnsi="Arial" w:cs="Arial"/>
          <w:color w:val="000000"/>
          <w:sz w:val="24"/>
          <w:szCs w:val="24"/>
          <w:lang w:val="en-US"/>
        </w:rPr>
        <w:t>9(</w:t>
      </w:r>
      <w:r w:rsidRPr="008642FA">
        <w:rPr>
          <w:rFonts w:ascii="Arial" w:hAnsi="Arial" w:cs="Arial"/>
          <w:color w:val="000000"/>
          <w:sz w:val="24"/>
          <w:szCs w:val="24"/>
          <w:lang w:val="en-US"/>
        </w:rPr>
        <w:t>1</w:t>
      </w:r>
      <w:r w:rsidR="00C153C5">
        <w:rPr>
          <w:rFonts w:ascii="Arial" w:hAnsi="Arial" w:cs="Arial"/>
          <w:color w:val="000000"/>
          <w:sz w:val="24"/>
          <w:szCs w:val="24"/>
          <w:lang w:val="en-US"/>
        </w:rPr>
        <w:t>):</w:t>
      </w:r>
      <w:r w:rsidRPr="008642FA">
        <w:rPr>
          <w:rFonts w:ascii="Arial" w:hAnsi="Arial" w:cs="Arial"/>
          <w:color w:val="000000"/>
          <w:sz w:val="24"/>
          <w:szCs w:val="24"/>
          <w:lang w:val="en-US"/>
        </w:rPr>
        <w:t>1-12</w:t>
      </w:r>
      <w:r w:rsidR="00C153C5">
        <w:rPr>
          <w:rFonts w:ascii="Arial" w:hAnsi="Arial" w:cs="Arial"/>
          <w:color w:val="000000"/>
          <w:sz w:val="24"/>
          <w:szCs w:val="24"/>
          <w:lang w:val="en-US"/>
        </w:rPr>
        <w:t>.</w:t>
      </w:r>
    </w:p>
    <w:p w:rsidR="00256E45" w:rsidRPr="008642FA" w:rsidRDefault="00BD2028">
      <w:pPr>
        <w:pStyle w:val="SemEspaamentoVerdana"/>
        <w:numPr>
          <w:ilvl w:val="0"/>
          <w:numId w:val="3"/>
        </w:numPr>
        <w:spacing w:beforeAutospacing="1" w:afterAutospacing="1"/>
        <w:outlineLvl w:val="0"/>
        <w:rPr>
          <w:rFonts w:ascii="Arial" w:hAnsi="Arial" w:cs="Arial"/>
          <w:sz w:val="24"/>
          <w:szCs w:val="24"/>
        </w:rPr>
      </w:pPr>
      <w:hyperlink>
        <w:r w:rsidR="00F647E6" w:rsidRPr="00557811">
          <w:rPr>
            <w:rStyle w:val="LinkdaInternet"/>
            <w:rFonts w:ascii="Arial" w:hAnsi="Arial" w:cs="Arial"/>
            <w:color w:val="000000"/>
            <w:sz w:val="24"/>
            <w:szCs w:val="24"/>
            <w:u w:val="none"/>
            <w:lang w:val="en-US" w:eastAsia="pt-BR"/>
          </w:rPr>
          <w:t>Tay FR</w:t>
        </w:r>
      </w:hyperlink>
      <w:r w:rsidR="00F647E6" w:rsidRPr="00557811">
        <w:rPr>
          <w:rFonts w:ascii="Arial" w:hAnsi="Arial" w:cs="Arial"/>
          <w:color w:val="000000"/>
          <w:sz w:val="24"/>
          <w:szCs w:val="24"/>
          <w:lang w:val="en-US" w:eastAsia="pt-BR"/>
        </w:rPr>
        <w:t xml:space="preserve">, </w:t>
      </w:r>
      <w:hyperlink>
        <w:r w:rsidR="00F647E6" w:rsidRPr="00557811">
          <w:rPr>
            <w:rStyle w:val="LinkdaInternet"/>
            <w:rFonts w:ascii="Arial" w:hAnsi="Arial" w:cs="Arial"/>
            <w:color w:val="000000"/>
            <w:sz w:val="24"/>
            <w:szCs w:val="24"/>
            <w:u w:val="none"/>
            <w:lang w:val="en-US" w:eastAsia="pt-BR"/>
          </w:rPr>
          <w:t>Pashley DH</w:t>
        </w:r>
      </w:hyperlink>
      <w:r w:rsidR="00F647E6" w:rsidRPr="00557811">
        <w:rPr>
          <w:rFonts w:ascii="Arial" w:hAnsi="Arial" w:cs="Arial"/>
          <w:color w:val="000000"/>
          <w:sz w:val="24"/>
          <w:szCs w:val="24"/>
          <w:lang w:val="en-US" w:eastAsia="pt-BR"/>
        </w:rPr>
        <w:t xml:space="preserve">, </w:t>
      </w:r>
      <w:hyperlink>
        <w:r w:rsidR="00F647E6" w:rsidRPr="00557811">
          <w:rPr>
            <w:rStyle w:val="LinkdaInternet"/>
            <w:rFonts w:ascii="Arial" w:hAnsi="Arial" w:cs="Arial"/>
            <w:color w:val="000000"/>
            <w:sz w:val="24"/>
            <w:szCs w:val="24"/>
            <w:u w:val="none"/>
            <w:lang w:val="en-US" w:eastAsia="pt-BR"/>
          </w:rPr>
          <w:t>Yiu CK</w:t>
        </w:r>
      </w:hyperlink>
      <w:r w:rsidR="00F647E6" w:rsidRPr="00557811">
        <w:rPr>
          <w:rFonts w:ascii="Arial" w:hAnsi="Arial" w:cs="Arial"/>
          <w:color w:val="000000"/>
          <w:sz w:val="24"/>
          <w:szCs w:val="24"/>
          <w:lang w:val="en-US" w:eastAsia="pt-BR"/>
        </w:rPr>
        <w:t xml:space="preserve">, </w:t>
      </w:r>
      <w:hyperlink>
        <w:r w:rsidR="00F647E6" w:rsidRPr="00557811">
          <w:rPr>
            <w:rStyle w:val="LinkdaInternet"/>
            <w:rFonts w:ascii="Arial" w:hAnsi="Arial" w:cs="Arial"/>
            <w:color w:val="000000"/>
            <w:sz w:val="24"/>
            <w:szCs w:val="24"/>
            <w:u w:val="none"/>
            <w:lang w:val="en-US" w:eastAsia="pt-BR"/>
          </w:rPr>
          <w:t>Sanares AM</w:t>
        </w:r>
      </w:hyperlink>
      <w:r w:rsidR="00F647E6" w:rsidRPr="00557811">
        <w:rPr>
          <w:rFonts w:ascii="Arial" w:hAnsi="Arial" w:cs="Arial"/>
          <w:color w:val="000000"/>
          <w:sz w:val="24"/>
          <w:szCs w:val="24"/>
          <w:lang w:val="en-US" w:eastAsia="pt-BR"/>
        </w:rPr>
        <w:t xml:space="preserve">, </w:t>
      </w:r>
      <w:hyperlink>
        <w:r w:rsidR="00F647E6" w:rsidRPr="00557811">
          <w:rPr>
            <w:rStyle w:val="LinkdaInternet"/>
            <w:rFonts w:ascii="Arial" w:hAnsi="Arial" w:cs="Arial"/>
            <w:color w:val="000000"/>
            <w:sz w:val="24"/>
            <w:szCs w:val="24"/>
            <w:u w:val="none"/>
            <w:lang w:val="en-US" w:eastAsia="pt-BR"/>
          </w:rPr>
          <w:t>Wei SH</w:t>
        </w:r>
      </w:hyperlink>
      <w:r w:rsidR="00F647E6" w:rsidRPr="008642FA">
        <w:rPr>
          <w:rFonts w:ascii="Arial" w:hAnsi="Arial" w:cs="Arial"/>
          <w:sz w:val="24"/>
          <w:szCs w:val="24"/>
          <w:lang w:val="en-US" w:eastAsia="pt-BR"/>
        </w:rPr>
        <w:t xml:space="preserve">. </w:t>
      </w:r>
      <w:r w:rsidR="00F647E6" w:rsidRPr="008642FA">
        <w:rPr>
          <w:rFonts w:ascii="Arial" w:hAnsi="Arial" w:cs="Arial"/>
          <w:bCs/>
          <w:sz w:val="24"/>
          <w:szCs w:val="24"/>
          <w:lang w:val="en-US" w:eastAsia="pt-BR"/>
        </w:rPr>
        <w:t xml:space="preserve">Factors contributing to the incompatibility between simplified-step adhesives and chemically-cured or dual-cured composites. Part I. Single-step self-etching adhesive. </w:t>
      </w:r>
      <w:hyperlink r:id="rId9">
        <w:r w:rsidR="00F647E6" w:rsidRPr="008642FA">
          <w:rPr>
            <w:rStyle w:val="LinkdaInternet"/>
            <w:rFonts w:ascii="Arial" w:hAnsi="Arial" w:cs="Arial"/>
            <w:bCs/>
            <w:color w:val="00000A"/>
            <w:sz w:val="24"/>
            <w:szCs w:val="24"/>
            <w:u w:val="none"/>
            <w:lang w:val="en-US" w:eastAsia="pt-BR"/>
          </w:rPr>
          <w:t>J Adhes Dent.</w:t>
        </w:r>
      </w:hyperlink>
      <w:r w:rsidR="00F647E6" w:rsidRPr="008642FA">
        <w:rPr>
          <w:rFonts w:ascii="Arial" w:hAnsi="Arial" w:cs="Arial"/>
          <w:bCs/>
          <w:sz w:val="24"/>
          <w:szCs w:val="24"/>
          <w:lang w:val="en-US" w:eastAsia="pt-BR"/>
        </w:rPr>
        <w:t xml:space="preserve"> 2003 Spring;5(1):27-40.</w:t>
      </w:r>
    </w:p>
    <w:p w:rsidR="00256E45" w:rsidRPr="008642FA" w:rsidRDefault="00BD2028">
      <w:pPr>
        <w:pStyle w:val="SemEspaamentoVerdana"/>
        <w:numPr>
          <w:ilvl w:val="0"/>
          <w:numId w:val="3"/>
        </w:numPr>
        <w:tabs>
          <w:tab w:val="left" w:pos="426"/>
        </w:tabs>
        <w:spacing w:beforeAutospacing="1" w:afterAutospacing="1"/>
        <w:outlineLvl w:val="0"/>
        <w:rPr>
          <w:rFonts w:ascii="Arial" w:hAnsi="Arial" w:cs="Arial"/>
          <w:sz w:val="24"/>
          <w:szCs w:val="24"/>
        </w:rPr>
      </w:pPr>
      <w:hyperlink>
        <w:r w:rsidR="00F647E6" w:rsidRPr="008642FA">
          <w:rPr>
            <w:rStyle w:val="LinkdaInternet"/>
            <w:rFonts w:ascii="Arial" w:hAnsi="Arial" w:cs="Arial"/>
            <w:color w:val="00000A"/>
            <w:sz w:val="24"/>
            <w:szCs w:val="24"/>
            <w:u w:val="none"/>
            <w:lang w:val="en-US"/>
          </w:rPr>
          <w:t>Gauthier MA</w:t>
        </w:r>
      </w:hyperlink>
      <w:r w:rsidR="00F647E6" w:rsidRPr="008642FA">
        <w:rPr>
          <w:rFonts w:ascii="Arial" w:hAnsi="Arial" w:cs="Arial"/>
          <w:sz w:val="24"/>
          <w:szCs w:val="24"/>
          <w:lang w:val="en-US"/>
        </w:rPr>
        <w:t xml:space="preserve">, </w:t>
      </w:r>
      <w:hyperlink>
        <w:r w:rsidR="00F647E6" w:rsidRPr="008642FA">
          <w:rPr>
            <w:rStyle w:val="LinkdaInternet"/>
            <w:rFonts w:ascii="Arial" w:hAnsi="Arial" w:cs="Arial"/>
            <w:color w:val="00000A"/>
            <w:sz w:val="24"/>
            <w:szCs w:val="24"/>
            <w:u w:val="none"/>
            <w:lang w:val="en-US"/>
          </w:rPr>
          <w:t>Stangel I</w:t>
        </w:r>
      </w:hyperlink>
      <w:r w:rsidR="00F647E6" w:rsidRPr="008642FA">
        <w:rPr>
          <w:rFonts w:ascii="Arial" w:hAnsi="Arial" w:cs="Arial"/>
          <w:sz w:val="24"/>
          <w:szCs w:val="24"/>
          <w:lang w:val="en-US"/>
        </w:rPr>
        <w:t xml:space="preserve">, </w:t>
      </w:r>
      <w:hyperlink>
        <w:r w:rsidR="00F647E6" w:rsidRPr="008642FA">
          <w:rPr>
            <w:rStyle w:val="LinkdaInternet"/>
            <w:rFonts w:ascii="Arial" w:hAnsi="Arial" w:cs="Arial"/>
            <w:color w:val="00000A"/>
            <w:sz w:val="24"/>
            <w:szCs w:val="24"/>
            <w:u w:val="none"/>
            <w:lang w:val="en-US"/>
          </w:rPr>
          <w:t>Ellis TH</w:t>
        </w:r>
      </w:hyperlink>
      <w:r w:rsidR="00F647E6" w:rsidRPr="008642FA">
        <w:rPr>
          <w:rFonts w:ascii="Arial" w:hAnsi="Arial" w:cs="Arial"/>
          <w:sz w:val="24"/>
          <w:szCs w:val="24"/>
          <w:lang w:val="en-US"/>
        </w:rPr>
        <w:t xml:space="preserve">, </w:t>
      </w:r>
      <w:hyperlink>
        <w:r w:rsidR="00F647E6" w:rsidRPr="008642FA">
          <w:rPr>
            <w:rStyle w:val="LinkdaInternet"/>
            <w:rFonts w:ascii="Arial" w:hAnsi="Arial" w:cs="Arial"/>
            <w:color w:val="00000A"/>
            <w:sz w:val="24"/>
            <w:szCs w:val="24"/>
            <w:u w:val="none"/>
            <w:lang w:val="en-US"/>
          </w:rPr>
          <w:t>Zhu XX</w:t>
        </w:r>
      </w:hyperlink>
      <w:r w:rsidR="00F647E6" w:rsidRPr="008642FA">
        <w:rPr>
          <w:rFonts w:ascii="Arial" w:hAnsi="Arial" w:cs="Arial"/>
          <w:sz w:val="24"/>
          <w:szCs w:val="24"/>
          <w:lang w:val="en-US"/>
        </w:rPr>
        <w:t xml:space="preserve">. </w:t>
      </w:r>
      <w:r w:rsidR="00F647E6" w:rsidRPr="008642FA">
        <w:rPr>
          <w:rStyle w:val="highlight"/>
          <w:rFonts w:ascii="Arial" w:hAnsi="Arial" w:cs="Arial"/>
          <w:sz w:val="24"/>
          <w:szCs w:val="24"/>
          <w:lang w:val="en-US"/>
        </w:rPr>
        <w:t>Oxygeninhibition</w:t>
      </w:r>
      <w:r w:rsidR="00F647E6" w:rsidRPr="008642FA">
        <w:rPr>
          <w:rFonts w:ascii="Arial" w:hAnsi="Arial" w:cs="Arial"/>
          <w:sz w:val="24"/>
          <w:szCs w:val="24"/>
          <w:lang w:val="en-US"/>
        </w:rPr>
        <w:t xml:space="preserve"> in dental </w:t>
      </w:r>
      <w:r w:rsidR="00F647E6" w:rsidRPr="008642FA">
        <w:rPr>
          <w:rStyle w:val="highlight"/>
          <w:rFonts w:ascii="Arial" w:hAnsi="Arial" w:cs="Arial"/>
          <w:sz w:val="24"/>
          <w:szCs w:val="24"/>
          <w:lang w:val="en-US"/>
        </w:rPr>
        <w:t>resins</w:t>
      </w:r>
      <w:r w:rsidR="00F647E6" w:rsidRPr="008642FA">
        <w:rPr>
          <w:rFonts w:ascii="Arial" w:hAnsi="Arial" w:cs="Arial"/>
          <w:sz w:val="24"/>
          <w:szCs w:val="24"/>
          <w:lang w:val="en-US"/>
        </w:rPr>
        <w:t xml:space="preserve">. </w:t>
      </w:r>
      <w:hyperlink r:id="rId10">
        <w:r w:rsidR="00F647E6" w:rsidRPr="008642FA">
          <w:rPr>
            <w:rStyle w:val="LinkdaInternet"/>
            <w:rFonts w:ascii="Arial" w:hAnsi="Arial" w:cs="Arial"/>
            <w:color w:val="00000A"/>
            <w:sz w:val="24"/>
            <w:szCs w:val="24"/>
            <w:u w:val="none"/>
            <w:lang w:val="en-US"/>
          </w:rPr>
          <w:t>J Dent Res.</w:t>
        </w:r>
      </w:hyperlink>
      <w:r w:rsidR="00F647E6" w:rsidRPr="008642FA">
        <w:rPr>
          <w:rFonts w:ascii="Arial" w:hAnsi="Arial" w:cs="Arial"/>
          <w:sz w:val="24"/>
          <w:szCs w:val="24"/>
          <w:lang w:val="en-US"/>
        </w:rPr>
        <w:t xml:space="preserve"> 2005 Aug;84(8):725-9.</w:t>
      </w:r>
    </w:p>
    <w:p w:rsidR="00256E45" w:rsidRPr="008642FA" w:rsidRDefault="00F647E6">
      <w:pPr>
        <w:pStyle w:val="PargrafodaLista"/>
        <w:numPr>
          <w:ilvl w:val="0"/>
          <w:numId w:val="3"/>
        </w:numPr>
        <w:spacing w:line="360" w:lineRule="auto"/>
        <w:jc w:val="both"/>
        <w:rPr>
          <w:rFonts w:ascii="Arial" w:hAnsi="Arial" w:cs="Arial"/>
          <w:sz w:val="24"/>
          <w:szCs w:val="24"/>
          <w:lang w:val="en-US" w:eastAsia="pt-BR"/>
        </w:rPr>
      </w:pPr>
      <w:r w:rsidRPr="008642FA">
        <w:rPr>
          <w:rFonts w:ascii="Arial" w:hAnsi="Arial" w:cs="Arial"/>
          <w:sz w:val="24"/>
          <w:szCs w:val="24"/>
          <w:lang w:val="en-US" w:eastAsia="pt-BR"/>
        </w:rPr>
        <w:t>Titley KC. The effect of various storage methods and media on shear bond strengths of dental composite resin to bovine dentin. Arch Oral Biol. 1998;43(4):305-11</w:t>
      </w:r>
    </w:p>
    <w:p w:rsidR="00256E45" w:rsidRPr="008642FA" w:rsidRDefault="00F647E6">
      <w:pPr>
        <w:pStyle w:val="PargrafodaLista"/>
        <w:numPr>
          <w:ilvl w:val="0"/>
          <w:numId w:val="3"/>
        </w:numPr>
        <w:spacing w:line="360" w:lineRule="auto"/>
        <w:jc w:val="both"/>
        <w:rPr>
          <w:rFonts w:ascii="Arial" w:hAnsi="Arial" w:cs="Arial"/>
          <w:sz w:val="24"/>
          <w:szCs w:val="24"/>
          <w:lang w:eastAsia="pt-BR"/>
        </w:rPr>
      </w:pPr>
      <w:r w:rsidRPr="008642FA">
        <w:rPr>
          <w:rFonts w:ascii="Arial" w:hAnsi="Arial" w:cs="Arial"/>
          <w:sz w:val="24"/>
          <w:szCs w:val="24"/>
          <w:lang w:val="en-US" w:eastAsia="pt-BR"/>
        </w:rPr>
        <w:t xml:space="preserve">Tonami K, Takahashi H, Nishimura F. Effect of frozen storage and boiling on tensile strength of bovine dentin. </w:t>
      </w:r>
      <w:r w:rsidRPr="008642FA">
        <w:rPr>
          <w:rFonts w:ascii="Arial" w:hAnsi="Arial" w:cs="Arial"/>
          <w:sz w:val="24"/>
          <w:szCs w:val="24"/>
          <w:lang w:eastAsia="pt-BR"/>
        </w:rPr>
        <w:t>Dent Mater J. 1996;15(2):205-11.</w:t>
      </w:r>
    </w:p>
    <w:p w:rsidR="00256E45" w:rsidRPr="00557811"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 xml:space="preserve">Buskes JA, Christoffersen J, Arends J: Lesion formation and lesion remineralization in enamel under constant composition conditions. </w:t>
      </w:r>
      <w:r w:rsidRPr="00557811">
        <w:rPr>
          <w:rFonts w:ascii="Arial" w:hAnsi="Arial" w:cs="Arial"/>
          <w:sz w:val="24"/>
          <w:szCs w:val="24"/>
          <w:lang w:val="en-US"/>
        </w:rPr>
        <w:t>A new technique with applications. Caries Res</w:t>
      </w:r>
      <w:r w:rsidR="00557811" w:rsidRPr="00557811">
        <w:rPr>
          <w:rFonts w:ascii="Arial" w:hAnsi="Arial" w:cs="Arial"/>
          <w:sz w:val="24"/>
          <w:szCs w:val="24"/>
          <w:lang w:val="en-US"/>
        </w:rPr>
        <w:t>.</w:t>
      </w:r>
      <w:r w:rsidRPr="00557811">
        <w:rPr>
          <w:rFonts w:ascii="Arial" w:hAnsi="Arial" w:cs="Arial"/>
          <w:sz w:val="24"/>
          <w:szCs w:val="24"/>
          <w:lang w:val="en-US"/>
        </w:rPr>
        <w:t xml:space="preserve"> 1985;19:490-496.</w:t>
      </w:r>
    </w:p>
    <w:p w:rsidR="00256E45" w:rsidRPr="00557811"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Gohring TN, Zehnder M, Sener B, Schimidlin PR. In vitro microleakage of adhesive-sealed dentin with lactic acid and saliva exposure: a radio- isotope analysis. J Dent</w:t>
      </w:r>
      <w:r w:rsidR="00557811">
        <w:rPr>
          <w:rFonts w:ascii="Arial" w:hAnsi="Arial" w:cs="Arial"/>
          <w:sz w:val="24"/>
          <w:szCs w:val="24"/>
          <w:lang w:val="en-US"/>
        </w:rPr>
        <w:t>.</w:t>
      </w:r>
      <w:r w:rsidRPr="008642FA">
        <w:rPr>
          <w:rFonts w:ascii="Arial" w:hAnsi="Arial" w:cs="Arial"/>
          <w:sz w:val="24"/>
          <w:szCs w:val="24"/>
          <w:lang w:val="en-US"/>
        </w:rPr>
        <w:t xml:space="preserve"> 2004 Mar; 32(3): 235-40.</w:t>
      </w:r>
    </w:p>
    <w:p w:rsidR="00256E45" w:rsidRPr="008642FA" w:rsidRDefault="00F647E6">
      <w:pPr>
        <w:pStyle w:val="SemEspaamentoVerdana"/>
        <w:numPr>
          <w:ilvl w:val="0"/>
          <w:numId w:val="3"/>
        </w:numPr>
        <w:rPr>
          <w:rFonts w:ascii="Arial" w:hAnsi="Arial" w:cs="Arial"/>
          <w:color w:val="000000"/>
          <w:sz w:val="24"/>
          <w:szCs w:val="24"/>
          <w:lang w:val="en-US"/>
        </w:rPr>
      </w:pPr>
      <w:r w:rsidRPr="008642FA">
        <w:rPr>
          <w:rFonts w:ascii="Arial" w:hAnsi="Arial" w:cs="Arial"/>
          <w:sz w:val="24"/>
          <w:szCs w:val="24"/>
          <w:lang w:val="en-US"/>
        </w:rPr>
        <w:lastRenderedPageBreak/>
        <w:t xml:space="preserve">Magalhães AC, Moron BM, Comar LP, Wiegand A, Buchalla W, Buzalaf MA. Comparison of cross-sectional hardness and transverse microradiography of artificial carious enamel lesions induced by different demineralising solutions and gels. </w:t>
      </w:r>
      <w:r w:rsidRPr="008642FA">
        <w:rPr>
          <w:rFonts w:ascii="Arial" w:hAnsi="Arial" w:cs="Arial"/>
          <w:sz w:val="24"/>
          <w:szCs w:val="24"/>
        </w:rPr>
        <w:t>Caries Res. 2009;43(6):474-83.</w:t>
      </w:r>
    </w:p>
    <w:p w:rsidR="00256E45" w:rsidRPr="008642FA" w:rsidRDefault="00256E45">
      <w:pPr>
        <w:pStyle w:val="SemEspaamentoVerdana"/>
        <w:ind w:left="720"/>
        <w:rPr>
          <w:rFonts w:ascii="Arial" w:hAnsi="Arial" w:cs="Arial"/>
          <w:color w:val="FF0000"/>
          <w:sz w:val="24"/>
          <w:szCs w:val="24"/>
          <w:lang w:val="en-US"/>
        </w:rPr>
      </w:pPr>
    </w:p>
    <w:p w:rsidR="00256E45" w:rsidRPr="008642FA" w:rsidRDefault="00F647E6">
      <w:pPr>
        <w:pStyle w:val="SemEspaamentoVerdana"/>
        <w:numPr>
          <w:ilvl w:val="0"/>
          <w:numId w:val="3"/>
        </w:numPr>
        <w:rPr>
          <w:rFonts w:ascii="Arial" w:hAnsi="Arial" w:cs="Arial"/>
          <w:sz w:val="24"/>
          <w:szCs w:val="24"/>
        </w:rPr>
      </w:pPr>
      <w:r w:rsidRPr="008642FA">
        <w:rPr>
          <w:rFonts w:ascii="Arial" w:hAnsi="Arial" w:cs="Arial"/>
          <w:color w:val="000000"/>
          <w:sz w:val="24"/>
          <w:szCs w:val="24"/>
          <w:lang w:eastAsia="pt-BR"/>
        </w:rPr>
        <w:t xml:space="preserve">Icon – o tratamento revolucionário para cáries em estágio inicial, sem perfuração. </w:t>
      </w:r>
      <w:hyperlink r:id="rId11">
        <w:r w:rsidRPr="008642FA">
          <w:rPr>
            <w:rStyle w:val="LinkdaInternet"/>
            <w:rFonts w:ascii="Arial" w:hAnsi="Arial" w:cs="Arial"/>
            <w:color w:val="000000"/>
            <w:sz w:val="24"/>
            <w:szCs w:val="24"/>
            <w:lang w:val="en-US" w:eastAsia="pt-BR"/>
          </w:rPr>
          <w:t>http://www.drilling-no-thanks.com/us/anwendungen.html</w:t>
        </w:r>
      </w:hyperlink>
    </w:p>
    <w:p w:rsidR="00256E45" w:rsidRPr="008642FA" w:rsidRDefault="00256E45">
      <w:pPr>
        <w:pStyle w:val="SemEspaamentoVerdana"/>
        <w:rPr>
          <w:rFonts w:ascii="Arial" w:hAnsi="Arial" w:cs="Arial"/>
          <w:color w:val="000000"/>
          <w:sz w:val="24"/>
          <w:szCs w:val="24"/>
          <w:lang w:val="en-US"/>
        </w:rPr>
      </w:pPr>
    </w:p>
    <w:p w:rsidR="00256E45" w:rsidRPr="008642FA" w:rsidRDefault="00F647E6">
      <w:pPr>
        <w:pStyle w:val="SemEspaamentoVerdana"/>
        <w:numPr>
          <w:ilvl w:val="0"/>
          <w:numId w:val="3"/>
        </w:numPr>
        <w:rPr>
          <w:rFonts w:ascii="Arial" w:hAnsi="Arial" w:cs="Arial"/>
          <w:sz w:val="24"/>
          <w:szCs w:val="24"/>
        </w:rPr>
      </w:pPr>
      <w:r w:rsidRPr="008642FA">
        <w:rPr>
          <w:rFonts w:ascii="Arial" w:hAnsi="Arial" w:cs="Arial"/>
          <w:color w:val="000000"/>
          <w:sz w:val="24"/>
          <w:szCs w:val="24"/>
        </w:rPr>
        <w:t xml:space="preserve">Catálogo do Icon. Em </w:t>
      </w:r>
      <w:hyperlink r:id="rId12">
        <w:r w:rsidRPr="008642FA">
          <w:rPr>
            <w:rStyle w:val="LinkdaInternet"/>
            <w:rFonts w:ascii="Arial" w:hAnsi="Arial" w:cs="Arial"/>
            <w:color w:val="000000"/>
            <w:sz w:val="24"/>
            <w:szCs w:val="24"/>
          </w:rPr>
          <w:t>http://br.dmg-dental.com/downloads/catlogo</w:t>
        </w:r>
      </w:hyperlink>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Gale MS, Darvell BW. Thermal cycling procedures for laboratory testing of dental restorations. J Dent</w:t>
      </w:r>
      <w:r w:rsidR="008D1A42">
        <w:rPr>
          <w:rFonts w:ascii="Arial" w:hAnsi="Arial" w:cs="Arial"/>
          <w:sz w:val="24"/>
          <w:szCs w:val="24"/>
          <w:lang w:val="en-US"/>
        </w:rPr>
        <w:t>.</w:t>
      </w:r>
      <w:r w:rsidRPr="008642FA">
        <w:rPr>
          <w:rFonts w:ascii="Arial" w:hAnsi="Arial" w:cs="Arial"/>
          <w:sz w:val="24"/>
          <w:szCs w:val="24"/>
          <w:lang w:val="en-US"/>
        </w:rPr>
        <w:t xml:space="preserve"> 1999;27(2):89-99.</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Roulet, Van Meerbeek B. Statistics: a nuisance, a tool, or a must? J Adhes Dent. 2007;9(3):287-8.</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A. Wiegand, B. Stawarczyk, M. Kolakovic, C.H.F. Ha¨ mmerle,T. Attin, P.R. Schmidlin.</w:t>
      </w:r>
      <w:r w:rsidRPr="008642FA">
        <w:rPr>
          <w:rFonts w:ascii="Arial" w:hAnsi="Arial" w:cs="Arial"/>
          <w:sz w:val="24"/>
          <w:szCs w:val="24"/>
          <w:lang w:val="en-US" w:eastAsia="pt-BR"/>
        </w:rPr>
        <w:t xml:space="preserve"> Adhesive performance of a caries infiltrant on sound and demineralised enamel.</w:t>
      </w:r>
      <w:r w:rsidRPr="008642FA">
        <w:rPr>
          <w:rFonts w:ascii="Arial" w:hAnsi="Arial" w:cs="Arial"/>
          <w:sz w:val="24"/>
          <w:szCs w:val="24"/>
          <w:lang w:val="en-US"/>
        </w:rPr>
        <w:t>Journal of Dentistry</w:t>
      </w:r>
      <w:r w:rsidR="008D1A42">
        <w:rPr>
          <w:rFonts w:ascii="Arial" w:hAnsi="Arial" w:cs="Arial"/>
          <w:sz w:val="24"/>
          <w:szCs w:val="24"/>
          <w:lang w:val="en-US"/>
        </w:rPr>
        <w:t>.</w:t>
      </w:r>
      <w:r w:rsidR="008D1A42">
        <w:rPr>
          <w:rFonts w:ascii="Arial" w:hAnsi="Arial" w:cs="Arial"/>
          <w:sz w:val="24"/>
          <w:szCs w:val="24"/>
          <w:lang w:val="en-US" w:eastAsia="pt-BR"/>
        </w:rPr>
        <w:t xml:space="preserve"> 2011;39:117-</w:t>
      </w:r>
      <w:r w:rsidRPr="008642FA">
        <w:rPr>
          <w:rFonts w:ascii="Arial" w:hAnsi="Arial" w:cs="Arial"/>
          <w:sz w:val="24"/>
          <w:szCs w:val="24"/>
          <w:lang w:val="en-US" w:eastAsia="pt-BR"/>
        </w:rPr>
        <w:t>21.</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Yamazaki H, Litman A, Margolis HC. Effect of fluoride on artificial caries lesion progression and repair in human enamel: regulation of mineral deposition and dissolution under in vivo-like conditions. Archives of Oral Biology</w:t>
      </w:r>
      <w:r w:rsidR="008D1A42">
        <w:rPr>
          <w:rFonts w:ascii="Arial" w:hAnsi="Arial" w:cs="Arial"/>
          <w:sz w:val="24"/>
          <w:szCs w:val="24"/>
          <w:lang w:val="en-US"/>
        </w:rPr>
        <w:t>.</w:t>
      </w:r>
      <w:r w:rsidRPr="008642FA">
        <w:rPr>
          <w:rFonts w:ascii="Arial" w:hAnsi="Arial" w:cs="Arial"/>
          <w:sz w:val="24"/>
          <w:szCs w:val="24"/>
          <w:lang w:val="en-US"/>
        </w:rPr>
        <w:t xml:space="preserve"> 2007;52:110–20.</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Anderson P, Elliot JC. Rates of mineral loss in human enamel during in vitro demineralization perpendicular and parallel to the natural surface. Caries Research</w:t>
      </w:r>
      <w:r w:rsidR="008D1A42">
        <w:rPr>
          <w:rFonts w:ascii="Arial" w:hAnsi="Arial" w:cs="Arial"/>
          <w:sz w:val="24"/>
          <w:szCs w:val="24"/>
          <w:lang w:val="en-US"/>
        </w:rPr>
        <w:t>.</w:t>
      </w:r>
      <w:r w:rsidRPr="008642FA">
        <w:rPr>
          <w:rFonts w:ascii="Arial" w:hAnsi="Arial" w:cs="Arial"/>
          <w:sz w:val="24"/>
          <w:szCs w:val="24"/>
          <w:lang w:val="en-US"/>
        </w:rPr>
        <w:t xml:space="preserve"> 2000;34:33–40.</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eastAsia="pt-BR"/>
        </w:rPr>
        <w:t xml:space="preserve">García-Godoy F, Hicks MJ. Maintaining the integrity of the enamel surface: the role of dental biofilm, saliva and preventive agents in enamel demineralization and remineralization. </w:t>
      </w:r>
      <w:r w:rsidRPr="008D1A42">
        <w:rPr>
          <w:rFonts w:ascii="Arial" w:hAnsi="Arial" w:cs="Arial"/>
          <w:sz w:val="24"/>
          <w:szCs w:val="24"/>
          <w:lang w:val="en-US" w:eastAsia="pt-BR"/>
        </w:rPr>
        <w:t>Journal of the American Dental Association</w:t>
      </w:r>
      <w:r w:rsidR="008D1A42" w:rsidRPr="008D1A42">
        <w:rPr>
          <w:rFonts w:ascii="Arial" w:hAnsi="Arial" w:cs="Arial"/>
          <w:sz w:val="24"/>
          <w:szCs w:val="24"/>
          <w:lang w:val="en-US" w:eastAsia="pt-BR"/>
        </w:rPr>
        <w:t>.</w:t>
      </w:r>
      <w:r w:rsidRPr="008D1A42">
        <w:rPr>
          <w:rFonts w:ascii="Arial" w:hAnsi="Arial" w:cs="Arial"/>
          <w:sz w:val="24"/>
          <w:szCs w:val="24"/>
          <w:lang w:val="en-US" w:eastAsia="pt-BR"/>
        </w:rPr>
        <w:t xml:space="preserve"> 2008;139:25S–34S.</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eastAsia="pt-BR"/>
        </w:rPr>
        <w:t>Cochrane NJ, Cai F, Huq NL, Burrow MF, Reynolds EC. New approaches to enhanced remineralization of tooth enamel. Journal of Dental Research</w:t>
      </w:r>
      <w:r w:rsidR="008D1A42">
        <w:rPr>
          <w:rFonts w:ascii="Arial" w:hAnsi="Arial" w:cs="Arial"/>
          <w:sz w:val="24"/>
          <w:szCs w:val="24"/>
          <w:lang w:val="en-US" w:eastAsia="pt-BR"/>
        </w:rPr>
        <w:t>.</w:t>
      </w:r>
      <w:r w:rsidRPr="008642FA">
        <w:rPr>
          <w:rFonts w:ascii="Arial" w:hAnsi="Arial" w:cs="Arial"/>
          <w:sz w:val="24"/>
          <w:szCs w:val="24"/>
          <w:lang w:val="en-US" w:eastAsia="pt-BR"/>
        </w:rPr>
        <w:t xml:space="preserve"> 2010;89:1187- 97.</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lastRenderedPageBreak/>
        <w:t xml:space="preserve">Buonocore MG. A simple method of increasing the adhesion of acrylic filling materials to enamel surfaces. </w:t>
      </w:r>
      <w:r w:rsidRPr="008D1A42">
        <w:rPr>
          <w:rFonts w:ascii="Arial" w:hAnsi="Arial" w:cs="Arial"/>
          <w:sz w:val="24"/>
          <w:szCs w:val="24"/>
          <w:lang w:val="en-US"/>
        </w:rPr>
        <w:t>J Dent Res. 1955;34(</w:t>
      </w:r>
      <w:r w:rsidRPr="008642FA">
        <w:rPr>
          <w:rFonts w:ascii="Arial" w:hAnsi="Arial" w:cs="Arial"/>
          <w:sz w:val="24"/>
          <w:szCs w:val="24"/>
        </w:rPr>
        <w:t>6):849-53.</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 xml:space="preserve">Nakabayashi N. Dentinal bonding mechanisms. </w:t>
      </w:r>
      <w:r w:rsidRPr="008642FA">
        <w:rPr>
          <w:rFonts w:ascii="Arial" w:hAnsi="Arial" w:cs="Arial"/>
          <w:sz w:val="24"/>
          <w:szCs w:val="24"/>
        </w:rPr>
        <w:t>Quintessence Int. 1991 Feb;22(2):73-4.</w:t>
      </w:r>
    </w:p>
    <w:p w:rsidR="00256E45" w:rsidRPr="008642FA" w:rsidRDefault="00256E45">
      <w:pPr>
        <w:pStyle w:val="PargrafodaLista"/>
        <w:spacing w:line="360" w:lineRule="auto"/>
        <w:jc w:val="both"/>
        <w:rPr>
          <w:rFonts w:ascii="Arial" w:hAnsi="Arial" w:cs="Arial"/>
          <w:sz w:val="24"/>
          <w:szCs w:val="24"/>
          <w:lang w:val="en-US"/>
        </w:rPr>
      </w:pPr>
    </w:p>
    <w:p w:rsidR="00256E45" w:rsidRPr="008642FA" w:rsidRDefault="00F647E6">
      <w:pPr>
        <w:pStyle w:val="PargrafodaLista"/>
        <w:numPr>
          <w:ilvl w:val="0"/>
          <w:numId w:val="3"/>
        </w:numPr>
        <w:spacing w:line="360" w:lineRule="auto"/>
        <w:jc w:val="both"/>
        <w:rPr>
          <w:rFonts w:ascii="Arial" w:hAnsi="Arial" w:cs="Arial"/>
          <w:sz w:val="24"/>
          <w:szCs w:val="24"/>
          <w:lang w:val="en-US"/>
        </w:rPr>
      </w:pPr>
      <w:r w:rsidRPr="008642FA">
        <w:rPr>
          <w:rFonts w:ascii="Arial" w:hAnsi="Arial" w:cs="Arial"/>
          <w:sz w:val="24"/>
          <w:szCs w:val="24"/>
          <w:lang w:val="en-US"/>
        </w:rPr>
        <w:t>Pashley DH, Tay FR. Aggressiveness of contemporary self-etching adhesives. Part II: etching effects on unground enamel. Dent Mater. 2001;17(5):430-44.</w:t>
      </w:r>
    </w:p>
    <w:p w:rsidR="00256E45" w:rsidRPr="008642FA" w:rsidRDefault="00256E45">
      <w:pPr>
        <w:pStyle w:val="PargrafodaLista"/>
        <w:rPr>
          <w:rFonts w:ascii="Arial" w:hAnsi="Arial" w:cs="Arial"/>
          <w:sz w:val="24"/>
          <w:szCs w:val="24"/>
          <w:lang w:val="en-US"/>
        </w:rPr>
      </w:pPr>
    </w:p>
    <w:p w:rsidR="00256E45" w:rsidRPr="008642FA" w:rsidRDefault="00256E45">
      <w:pPr>
        <w:pStyle w:val="PargrafodaLista"/>
        <w:spacing w:line="360" w:lineRule="auto"/>
        <w:ind w:left="0"/>
        <w:jc w:val="both"/>
        <w:rPr>
          <w:rFonts w:ascii="Arial" w:hAnsi="Arial" w:cs="Arial"/>
          <w:sz w:val="24"/>
          <w:szCs w:val="24"/>
          <w:lang w:val="en-US"/>
        </w:rPr>
      </w:pPr>
    </w:p>
    <w:sectPr w:rsidR="00256E45" w:rsidRPr="008642FA" w:rsidSect="008642FA">
      <w:headerReference w:type="default" r:id="rId13"/>
      <w:footerReference w:type="default" r:id="rId14"/>
      <w:pgSz w:w="11906" w:h="16838"/>
      <w:pgMar w:top="1134" w:right="1134" w:bottom="1134" w:left="1134" w:header="709"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65C" w:rsidRDefault="0052365C" w:rsidP="00256E45">
      <w:pPr>
        <w:spacing w:after="0" w:line="240" w:lineRule="auto"/>
      </w:pPr>
      <w:r>
        <w:separator/>
      </w:r>
    </w:p>
  </w:endnote>
  <w:endnote w:type="continuationSeparator" w:id="1">
    <w:p w:rsidR="0052365C" w:rsidRDefault="0052365C" w:rsidP="00256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Kaiti Std 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45" w:rsidRDefault="00256E45">
    <w:pPr>
      <w:pStyle w:val="Rodap"/>
      <w:jc w:val="right"/>
      <w:rPr>
        <w:rFonts w:ascii="Arial" w:hAnsi="Arial" w:cs="Arial"/>
        <w:b/>
        <w:i/>
        <w:color w:val="80808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65C" w:rsidRDefault="0052365C" w:rsidP="00256E45">
      <w:pPr>
        <w:spacing w:after="0" w:line="240" w:lineRule="auto"/>
      </w:pPr>
      <w:r>
        <w:separator/>
      </w:r>
    </w:p>
  </w:footnote>
  <w:footnote w:type="continuationSeparator" w:id="1">
    <w:p w:rsidR="0052365C" w:rsidRDefault="0052365C" w:rsidP="00256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45" w:rsidRDefault="00256E45">
    <w:pPr>
      <w:pStyle w:val="Cabealho"/>
      <w:jc w:val="both"/>
      <w:rPr>
        <w:rFonts w:ascii="Arial" w:hAnsi="Arial" w:cs="Arial"/>
        <w:b/>
        <w:i/>
        <w:color w:val="80808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02685"/>
    <w:multiLevelType w:val="multilevel"/>
    <w:tmpl w:val="0EA2CFC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36C907D2"/>
    <w:multiLevelType w:val="multilevel"/>
    <w:tmpl w:val="65A284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2733A17"/>
    <w:multiLevelType w:val="multilevel"/>
    <w:tmpl w:val="85DCF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CDA7BFB"/>
    <w:multiLevelType w:val="multilevel"/>
    <w:tmpl w:val="91A8655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05"/>
  <w:displayHorizontalDrawingGridEvery w:val="2"/>
  <w:characterSpacingControl w:val="doNotCompress"/>
  <w:footnotePr>
    <w:footnote w:id="0"/>
    <w:footnote w:id="1"/>
  </w:footnotePr>
  <w:endnotePr>
    <w:endnote w:id="0"/>
    <w:endnote w:id="1"/>
  </w:endnotePr>
  <w:compat/>
  <w:rsids>
    <w:rsidRoot w:val="00256E45"/>
    <w:rsid w:val="000577E9"/>
    <w:rsid w:val="0018377A"/>
    <w:rsid w:val="001A47CC"/>
    <w:rsid w:val="00256E45"/>
    <w:rsid w:val="00260354"/>
    <w:rsid w:val="004D4F62"/>
    <w:rsid w:val="0052365C"/>
    <w:rsid w:val="00557811"/>
    <w:rsid w:val="0057324F"/>
    <w:rsid w:val="005A1235"/>
    <w:rsid w:val="005B153D"/>
    <w:rsid w:val="005D29DA"/>
    <w:rsid w:val="005E7279"/>
    <w:rsid w:val="007155E9"/>
    <w:rsid w:val="00762DD3"/>
    <w:rsid w:val="0078515E"/>
    <w:rsid w:val="008642FA"/>
    <w:rsid w:val="00896845"/>
    <w:rsid w:val="008A49D7"/>
    <w:rsid w:val="008B1626"/>
    <w:rsid w:val="008D1A42"/>
    <w:rsid w:val="00A14420"/>
    <w:rsid w:val="00A43A2F"/>
    <w:rsid w:val="00AE734B"/>
    <w:rsid w:val="00B42611"/>
    <w:rsid w:val="00B46B32"/>
    <w:rsid w:val="00BD2028"/>
    <w:rsid w:val="00C153C5"/>
    <w:rsid w:val="00C77CF0"/>
    <w:rsid w:val="00E32D81"/>
    <w:rsid w:val="00E71BA4"/>
    <w:rsid w:val="00ED1E7D"/>
    <w:rsid w:val="00ED4B9B"/>
    <w:rsid w:val="00F647E6"/>
    <w:rsid w:val="00FC40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0"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5"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C7"/>
    <w:pPr>
      <w:suppressAutoHyphens/>
      <w:spacing w:after="200" w:line="276" w:lineRule="auto"/>
    </w:pPr>
    <w:rPr>
      <w:sz w:val="22"/>
      <w:szCs w:val="22"/>
    </w:rPr>
  </w:style>
  <w:style w:type="paragraph" w:styleId="Ttulo1">
    <w:name w:val="heading 1"/>
    <w:basedOn w:val="Normal"/>
    <w:next w:val="Normal"/>
    <w:link w:val="Ttulo1Char"/>
    <w:uiPriority w:val="9"/>
    <w:qFormat/>
    <w:rsid w:val="007730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594086"/>
    <w:rPr>
      <w:rFonts w:ascii="Tahoma" w:hAnsi="Tahoma" w:cs="Tahoma"/>
      <w:sz w:val="16"/>
      <w:szCs w:val="16"/>
    </w:rPr>
  </w:style>
  <w:style w:type="character" w:customStyle="1" w:styleId="CabealhoChar">
    <w:name w:val="Cabeçalho Char"/>
    <w:basedOn w:val="Fontepargpadro"/>
    <w:link w:val="Cabealho"/>
    <w:uiPriority w:val="99"/>
    <w:qFormat/>
    <w:rsid w:val="00A54245"/>
  </w:style>
  <w:style w:type="character" w:customStyle="1" w:styleId="RodapChar">
    <w:name w:val="Rodapé Char"/>
    <w:basedOn w:val="Fontepargpadro"/>
    <w:link w:val="Rodap"/>
    <w:uiPriority w:val="99"/>
    <w:qFormat/>
    <w:rsid w:val="00A54245"/>
  </w:style>
  <w:style w:type="character" w:customStyle="1" w:styleId="NormalVerdana1">
    <w:name w:val="Normal + Verdana1"/>
    <w:basedOn w:val="Fontepargpadro"/>
    <w:link w:val="NormalVerdana"/>
    <w:uiPriority w:val="99"/>
    <w:qFormat/>
    <w:locked/>
    <w:rsid w:val="008F5F05"/>
    <w:rPr>
      <w:rFonts w:ascii="Verdana" w:eastAsia="Times New Roman" w:hAnsi="Verdana" w:cs="Times New Roman"/>
      <w:sz w:val="24"/>
      <w:szCs w:val="24"/>
    </w:rPr>
  </w:style>
  <w:style w:type="character" w:customStyle="1" w:styleId="SemEspaamentoChar">
    <w:name w:val="Sem Espaçamento Char"/>
    <w:basedOn w:val="Fontepargpadro"/>
    <w:link w:val="SemEspaamento"/>
    <w:uiPriority w:val="99"/>
    <w:qFormat/>
    <w:locked/>
    <w:rsid w:val="0035030A"/>
    <w:rPr>
      <w:sz w:val="22"/>
      <w:szCs w:val="22"/>
      <w:lang w:val="pt-BR" w:eastAsia="en-US" w:bidi="ar-SA"/>
    </w:rPr>
  </w:style>
  <w:style w:type="character" w:styleId="nfase">
    <w:name w:val="Emphasis"/>
    <w:uiPriority w:val="20"/>
    <w:qFormat/>
    <w:rsid w:val="0035030A"/>
    <w:rPr>
      <w:i/>
      <w:iCs/>
    </w:rPr>
  </w:style>
  <w:style w:type="character" w:customStyle="1" w:styleId="NoSpacingChar">
    <w:name w:val="No Spacing Char"/>
    <w:link w:val="NoSpacing1"/>
    <w:uiPriority w:val="99"/>
    <w:qFormat/>
    <w:locked/>
    <w:rsid w:val="0035030A"/>
    <w:rPr>
      <w:rFonts w:eastAsia="Times New Roman" w:cs="Calibri"/>
      <w:sz w:val="22"/>
      <w:szCs w:val="22"/>
      <w:lang w:val="pt-BR" w:eastAsia="en-US" w:bidi="ar-SA"/>
    </w:rPr>
  </w:style>
  <w:style w:type="character" w:customStyle="1" w:styleId="EndNoteBibliographyChar">
    <w:name w:val="EndNote Bibliography Char"/>
    <w:basedOn w:val="Fontepargpadro"/>
    <w:link w:val="EndNoteBibliography"/>
    <w:qFormat/>
    <w:rsid w:val="0035030A"/>
    <w:rPr>
      <w:rFonts w:ascii="Times New Roman" w:hAnsi="Times New Roman" w:cs="Times New Roman"/>
      <w:lang w:val="en-US"/>
    </w:rPr>
  </w:style>
  <w:style w:type="character" w:customStyle="1" w:styleId="LinkdaInternet">
    <w:name w:val="Link da Internet"/>
    <w:basedOn w:val="Fontepargpadro"/>
    <w:uiPriority w:val="99"/>
    <w:rsid w:val="00810E05"/>
    <w:rPr>
      <w:rFonts w:ascii="Times New Roman" w:hAnsi="Times New Roman" w:cs="Times New Roman"/>
      <w:color w:val="0000FF"/>
      <w:u w:val="single"/>
    </w:rPr>
  </w:style>
  <w:style w:type="character" w:customStyle="1" w:styleId="Recuodecorpodetexto2Char">
    <w:name w:val="Recuo de corpo de texto 2 Char"/>
    <w:basedOn w:val="Fontepargpadro"/>
    <w:link w:val="Recuodecorpodetexto2"/>
    <w:uiPriority w:val="99"/>
    <w:semiHidden/>
    <w:qFormat/>
    <w:rsid w:val="00810E05"/>
    <w:rPr>
      <w:rFonts w:ascii="Calibri" w:eastAsia="Times New Roman" w:hAnsi="Calibri" w:cs="Calibri"/>
    </w:rPr>
  </w:style>
  <w:style w:type="character" w:customStyle="1" w:styleId="highlight">
    <w:name w:val="highlight"/>
    <w:basedOn w:val="Fontepargpadro"/>
    <w:qFormat/>
    <w:rsid w:val="00810E05"/>
  </w:style>
  <w:style w:type="character" w:customStyle="1" w:styleId="apple-style-span">
    <w:name w:val="apple-style-span"/>
    <w:qFormat/>
    <w:rsid w:val="00E84F9D"/>
    <w:rPr>
      <w:rFonts w:ascii="Times New Roman" w:hAnsi="Times New Roman" w:cs="Times New Roman"/>
    </w:rPr>
  </w:style>
  <w:style w:type="character" w:customStyle="1" w:styleId="Ttulo1Char">
    <w:name w:val="Título 1 Char"/>
    <w:basedOn w:val="Fontepargpadro"/>
    <w:link w:val="Ttulo1"/>
    <w:uiPriority w:val="9"/>
    <w:qFormat/>
    <w:rsid w:val="007730A6"/>
    <w:rPr>
      <w:rFonts w:asciiTheme="majorHAnsi" w:eastAsiaTheme="majorEastAsia" w:hAnsiTheme="majorHAnsi" w:cstheme="majorBidi"/>
      <w:b/>
      <w:bCs/>
      <w:color w:val="365F91" w:themeColor="accent1" w:themeShade="BF"/>
      <w:sz w:val="28"/>
      <w:szCs w:val="28"/>
    </w:rPr>
  </w:style>
  <w:style w:type="character" w:customStyle="1" w:styleId="hps">
    <w:name w:val="hps"/>
    <w:basedOn w:val="Fontepargpadro"/>
    <w:qFormat/>
    <w:rsid w:val="0050137A"/>
  </w:style>
  <w:style w:type="character" w:customStyle="1" w:styleId="ListLabel1">
    <w:name w:val="ListLabel 1"/>
    <w:qFormat/>
    <w:rsid w:val="00256E45"/>
    <w:rPr>
      <w:rFonts w:cs="Courier New"/>
    </w:rPr>
  </w:style>
  <w:style w:type="character" w:customStyle="1" w:styleId="ListLabel2">
    <w:name w:val="ListLabel 2"/>
    <w:qFormat/>
    <w:rsid w:val="00256E45"/>
    <w:rPr>
      <w:rFonts w:cs="Times New Roman"/>
      <w:i w:val="0"/>
    </w:rPr>
  </w:style>
  <w:style w:type="character" w:customStyle="1" w:styleId="ListLabel3">
    <w:name w:val="ListLabel 3"/>
    <w:qFormat/>
    <w:rsid w:val="00256E45"/>
    <w:rPr>
      <w:rFonts w:cs="Times New Roman"/>
    </w:rPr>
  </w:style>
  <w:style w:type="paragraph" w:styleId="Ttulo">
    <w:name w:val="Title"/>
    <w:basedOn w:val="Normal"/>
    <w:next w:val="Corpodotexto"/>
    <w:qFormat/>
    <w:rsid w:val="00256E45"/>
    <w:pPr>
      <w:keepNext/>
      <w:spacing w:before="240" w:after="120"/>
    </w:pPr>
    <w:rPr>
      <w:rFonts w:ascii="Liberation Sans" w:eastAsia="Lucida Sans Unicode" w:hAnsi="Liberation Sans" w:cs="Mangal"/>
      <w:sz w:val="28"/>
      <w:szCs w:val="28"/>
    </w:rPr>
  </w:style>
  <w:style w:type="paragraph" w:customStyle="1" w:styleId="Corpodotexto">
    <w:name w:val="Corpo do texto"/>
    <w:basedOn w:val="Normal"/>
    <w:rsid w:val="00256E45"/>
    <w:pPr>
      <w:spacing w:after="140" w:line="288" w:lineRule="auto"/>
    </w:pPr>
  </w:style>
  <w:style w:type="paragraph" w:styleId="Lista">
    <w:name w:val="List"/>
    <w:basedOn w:val="Corpodotexto"/>
    <w:rsid w:val="00256E45"/>
    <w:rPr>
      <w:rFonts w:cs="Mangal"/>
    </w:rPr>
  </w:style>
  <w:style w:type="paragraph" w:styleId="Legenda">
    <w:name w:val="caption"/>
    <w:basedOn w:val="Normal"/>
    <w:rsid w:val="00256E45"/>
    <w:pPr>
      <w:suppressLineNumbers/>
      <w:spacing w:before="120" w:after="120"/>
    </w:pPr>
    <w:rPr>
      <w:rFonts w:cs="Mangal"/>
      <w:i/>
      <w:iCs/>
      <w:sz w:val="24"/>
      <w:szCs w:val="24"/>
    </w:rPr>
  </w:style>
  <w:style w:type="paragraph" w:customStyle="1" w:styleId="ndice">
    <w:name w:val="Índice"/>
    <w:basedOn w:val="Normal"/>
    <w:qFormat/>
    <w:rsid w:val="00256E45"/>
    <w:pPr>
      <w:suppressLineNumbers/>
    </w:pPr>
    <w:rPr>
      <w:rFonts w:cs="Mangal"/>
    </w:rPr>
  </w:style>
  <w:style w:type="paragraph" w:styleId="Textodebalo">
    <w:name w:val="Balloon Text"/>
    <w:basedOn w:val="Normal"/>
    <w:link w:val="TextodebaloChar"/>
    <w:uiPriority w:val="99"/>
    <w:semiHidden/>
    <w:unhideWhenUsed/>
    <w:qFormat/>
    <w:rsid w:val="00594086"/>
    <w:pPr>
      <w:spacing w:after="0" w:line="240" w:lineRule="auto"/>
    </w:pPr>
    <w:rPr>
      <w:rFonts w:ascii="Tahoma" w:hAnsi="Tahoma" w:cs="Tahoma"/>
      <w:sz w:val="16"/>
      <w:szCs w:val="16"/>
    </w:rPr>
  </w:style>
  <w:style w:type="paragraph" w:styleId="Cabealho">
    <w:name w:val="header"/>
    <w:basedOn w:val="Normal"/>
    <w:link w:val="CabealhoChar"/>
    <w:uiPriority w:val="99"/>
    <w:unhideWhenUsed/>
    <w:rsid w:val="00A54245"/>
    <w:pPr>
      <w:tabs>
        <w:tab w:val="center" w:pos="4252"/>
        <w:tab w:val="right" w:pos="8504"/>
      </w:tabs>
      <w:spacing w:after="0" w:line="240" w:lineRule="auto"/>
    </w:pPr>
  </w:style>
  <w:style w:type="paragraph" w:styleId="Rodap">
    <w:name w:val="footer"/>
    <w:basedOn w:val="Normal"/>
    <w:link w:val="RodapChar"/>
    <w:uiPriority w:val="99"/>
    <w:unhideWhenUsed/>
    <w:rsid w:val="00A54245"/>
    <w:pPr>
      <w:tabs>
        <w:tab w:val="center" w:pos="4252"/>
        <w:tab w:val="right" w:pos="8504"/>
      </w:tabs>
      <w:spacing w:after="0" w:line="240" w:lineRule="auto"/>
    </w:pPr>
  </w:style>
  <w:style w:type="paragraph" w:customStyle="1" w:styleId="NormalVerdana">
    <w:name w:val="Normal + Verdana"/>
    <w:link w:val="NormalVerdana1"/>
    <w:uiPriority w:val="99"/>
    <w:qFormat/>
    <w:rsid w:val="008F5F05"/>
    <w:pPr>
      <w:widowControl w:val="0"/>
      <w:suppressAutoHyphens/>
      <w:spacing w:line="360" w:lineRule="auto"/>
    </w:pPr>
    <w:rPr>
      <w:rFonts w:ascii="Verdana" w:eastAsia="Times New Roman" w:hAnsi="Verdana"/>
      <w:sz w:val="24"/>
      <w:szCs w:val="24"/>
    </w:rPr>
  </w:style>
  <w:style w:type="paragraph" w:styleId="SemEspaamento">
    <w:name w:val="No Spacing"/>
    <w:link w:val="SemEspaamentoChar"/>
    <w:uiPriority w:val="99"/>
    <w:qFormat/>
    <w:rsid w:val="008F5F05"/>
    <w:pPr>
      <w:suppressAutoHyphens/>
    </w:pPr>
    <w:rPr>
      <w:sz w:val="22"/>
      <w:szCs w:val="22"/>
    </w:rPr>
  </w:style>
  <w:style w:type="paragraph" w:styleId="PargrafodaLista">
    <w:name w:val="List Paragraph"/>
    <w:basedOn w:val="Normal"/>
    <w:uiPriority w:val="34"/>
    <w:qFormat/>
    <w:rsid w:val="0035030A"/>
    <w:pPr>
      <w:ind w:left="720"/>
      <w:contextualSpacing/>
    </w:pPr>
    <w:rPr>
      <w:rFonts w:eastAsia="Times New Roman" w:cs="Calibri"/>
    </w:rPr>
  </w:style>
  <w:style w:type="paragraph" w:customStyle="1" w:styleId="NoSpacing1">
    <w:name w:val="No Spacing1"/>
    <w:link w:val="NoSpacingChar"/>
    <w:uiPriority w:val="99"/>
    <w:qFormat/>
    <w:rsid w:val="0035030A"/>
    <w:pPr>
      <w:suppressAutoHyphens/>
    </w:pPr>
    <w:rPr>
      <w:rFonts w:eastAsia="Times New Roman" w:cs="Calibri"/>
      <w:sz w:val="22"/>
      <w:szCs w:val="22"/>
    </w:rPr>
  </w:style>
  <w:style w:type="paragraph" w:customStyle="1" w:styleId="EndNoteBibliography">
    <w:name w:val="EndNote Bibliography"/>
    <w:basedOn w:val="Normal"/>
    <w:link w:val="EndNoteBibliographyChar"/>
    <w:qFormat/>
    <w:rsid w:val="0035030A"/>
    <w:pPr>
      <w:spacing w:line="240" w:lineRule="auto"/>
    </w:pPr>
    <w:rPr>
      <w:rFonts w:ascii="Times New Roman" w:hAnsi="Times New Roman"/>
      <w:lang w:val="en-US"/>
    </w:rPr>
  </w:style>
  <w:style w:type="paragraph" w:customStyle="1" w:styleId="Default">
    <w:name w:val="Default"/>
    <w:qFormat/>
    <w:rsid w:val="0035030A"/>
    <w:pPr>
      <w:widowControl w:val="0"/>
      <w:suppressAutoHyphens/>
    </w:pPr>
    <w:rPr>
      <w:rFonts w:ascii="Arial" w:eastAsia="Times New Roman" w:hAnsi="Arial" w:cs="Arial"/>
      <w:color w:val="000000"/>
      <w:sz w:val="24"/>
      <w:szCs w:val="24"/>
      <w:lang w:val="en-US"/>
    </w:rPr>
  </w:style>
  <w:style w:type="paragraph" w:styleId="Recuodecorpodetexto2">
    <w:name w:val="Body Text Indent 2"/>
    <w:basedOn w:val="Normal"/>
    <w:link w:val="Recuodecorpodetexto2Char"/>
    <w:uiPriority w:val="99"/>
    <w:semiHidden/>
    <w:qFormat/>
    <w:rsid w:val="00810E05"/>
    <w:pPr>
      <w:spacing w:after="120" w:line="480" w:lineRule="auto"/>
      <w:ind w:left="283"/>
    </w:pPr>
    <w:rPr>
      <w:rFonts w:eastAsia="Times New Roman" w:cs="Calibri"/>
    </w:rPr>
  </w:style>
  <w:style w:type="paragraph" w:customStyle="1" w:styleId="SemEspaamentoVerdana">
    <w:name w:val="Sem Espaçamento + Verdana"/>
    <w:basedOn w:val="Normal"/>
    <w:uiPriority w:val="99"/>
    <w:qFormat/>
    <w:rsid w:val="00810E05"/>
    <w:pPr>
      <w:spacing w:line="360" w:lineRule="auto"/>
      <w:contextualSpacing/>
      <w:jc w:val="both"/>
    </w:pPr>
    <w:rPr>
      <w:rFonts w:ascii="Verdana" w:eastAsia="Times New Roman" w:hAnsi="Verdana" w:cs="Calibri"/>
    </w:rPr>
  </w:style>
  <w:style w:type="paragraph" w:customStyle="1" w:styleId="Contedodoquadro">
    <w:name w:val="Conteúdo do quadro"/>
    <w:basedOn w:val="Normal"/>
    <w:qFormat/>
    <w:rsid w:val="00256E45"/>
  </w:style>
  <w:style w:type="paragraph" w:customStyle="1" w:styleId="Contedodatabela">
    <w:name w:val="Conteúdo da tabela"/>
    <w:basedOn w:val="Normal"/>
    <w:qFormat/>
    <w:rsid w:val="00256E45"/>
  </w:style>
  <w:style w:type="table" w:customStyle="1" w:styleId="ListaMdia11">
    <w:name w:val="Lista Média 11"/>
    <w:basedOn w:val="Tabelanormal"/>
    <w:uiPriority w:val="65"/>
    <w:rsid w:val="000D48B2"/>
    <w:rPr>
      <w:rFonts w:asciiTheme="minorHAnsi" w:eastAsiaTheme="minorEastAsia" w:hAnsiTheme="minorHAnsi" w:cstheme="minorBidi"/>
      <w:color w:val="000000" w:themeColor="text1"/>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mentoClaro1">
    <w:name w:val="Sombreamento Claro1"/>
    <w:basedOn w:val="Tabelanormal"/>
    <w:uiPriority w:val="60"/>
    <w:rsid w:val="00343809"/>
    <w:rPr>
      <w:rFonts w:asciiTheme="minorHAnsi" w:eastAsiaTheme="minorEastAsia" w:hAnsiTheme="minorHAnsi" w:cstheme="minorBidi"/>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bookbrowse.com/clearfil-s3-bond-plus-brochure-pdf-d32348855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dmg-dental.com/downloads/catlog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illing-no-thanks.com/us/anwendung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16040730" TargetMode="External"/><Relationship Id="rId4" Type="http://schemas.openxmlformats.org/officeDocument/2006/relationships/settings" Target="settings.xml"/><Relationship Id="rId9" Type="http://schemas.openxmlformats.org/officeDocument/2006/relationships/hyperlink" Target="http://www.ncbi.nlm.nih.gov/pubmed/127290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D8D3-B50E-4B60-9899-DECF31AB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3883</Words>
  <Characters>20970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cliente</cp:lastModifiedBy>
  <cp:revision>2</cp:revision>
  <dcterms:created xsi:type="dcterms:W3CDTF">2015-11-30T01:33:00Z</dcterms:created>
  <dcterms:modified xsi:type="dcterms:W3CDTF">2015-11-30T01:33:00Z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