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F5" w:rsidRPr="009B49F5" w:rsidRDefault="009B49F5" w:rsidP="009B49F5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9B49F5">
        <w:rPr>
          <w:rFonts w:ascii="Arial" w:hAnsi="Arial" w:cs="Arial"/>
          <w:b/>
          <w:sz w:val="24"/>
          <w:szCs w:val="24"/>
          <w:lang w:val="en-US"/>
        </w:rPr>
        <w:t>ABSTRACT</w:t>
      </w:r>
    </w:p>
    <w:bookmarkEnd w:id="0"/>
    <w:p w:rsidR="00081FA5" w:rsidRPr="009B49F5" w:rsidRDefault="00423B9A" w:rsidP="009B49F5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9B49F5">
        <w:rPr>
          <w:rFonts w:ascii="Arial" w:hAnsi="Arial" w:cs="Arial"/>
          <w:sz w:val="24"/>
          <w:szCs w:val="24"/>
          <w:lang w:val="en-US"/>
        </w:rPr>
        <w:t xml:space="preserve">Purpose: to verify the frequency in non-carious lesions in patients with and without sleep bruxism and to try to list the occurrence of such lesions in patients with this parafunctional habit. </w:t>
      </w:r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Materials and Methods</w:t>
      </w:r>
      <w:r w:rsidR="005212B2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: </w:t>
      </w:r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67 patients ranging from 18 to 70 years of age, which all signed a free and consent form </w:t>
      </w:r>
      <w:proofErr w:type="gramStart"/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were evaluated</w:t>
      </w:r>
      <w:proofErr w:type="gramEnd"/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. </w:t>
      </w:r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Patients with neurological diseases and/or partially or </w:t>
      </w:r>
      <w:proofErr w:type="gramStart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totally</w:t>
      </w:r>
      <w:proofErr w:type="gramEnd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edentulous were excluded from the study. Bruxism diagnosis </w:t>
      </w:r>
      <w:proofErr w:type="gramStart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was performed</w:t>
      </w:r>
      <w:proofErr w:type="gramEnd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using a validated questionnaire based on the combination of at least two positive confirmations of bruxism. Diagnosis of non-carious cervical lesions (NCCL) was performed by a single calibrated examiner, using #5 clinical probe, intraoral mirror and </w:t>
      </w:r>
      <w:proofErr w:type="gramStart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air flow</w:t>
      </w:r>
      <w:proofErr w:type="gramEnd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, analyzing all surfaces of the teeth present in the mouth. The lesions </w:t>
      </w:r>
      <w:proofErr w:type="gramStart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were classified</w:t>
      </w:r>
      <w:proofErr w:type="gramEnd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as </w:t>
      </w:r>
      <w:proofErr w:type="spellStart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abfraction</w:t>
      </w:r>
      <w:proofErr w:type="spellEnd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, abrasion or erosion. Statistical analysis </w:t>
      </w:r>
      <w:proofErr w:type="gramStart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was performed</w:t>
      </w:r>
      <w:proofErr w:type="gramEnd"/>
      <w:r w:rsidR="006C1188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by U Mann-Whitney test, at 5% level of significance. Results: </w:t>
      </w:r>
      <w:r w:rsidR="009E4A3F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sixty patients </w:t>
      </w:r>
      <w:proofErr w:type="gramStart"/>
      <w:r w:rsidR="009E4A3F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were diagnosed</w:t>
      </w:r>
      <w:proofErr w:type="gramEnd"/>
      <w:r w:rsidR="009E4A3F"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with bruxism 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(91.</w:t>
      </w:r>
      <w:r w:rsidR="00C97AD1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3%) 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and only seven patients (8.</w:t>
      </w:r>
      <w:r w:rsidR="00C97AD1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7%) 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did not present this </w:t>
      </w:r>
      <w:proofErr w:type="spellStart"/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parafuctional</w:t>
      </w:r>
      <w:proofErr w:type="spellEnd"/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habit. Regardless the gender, five patients (10.</w:t>
      </w:r>
      <w:r w:rsidR="00C97AD1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1%)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presented absence of lesions and 62 </w:t>
      </w:r>
      <w:r w:rsidR="00FE2D87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patients 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(89.</w:t>
      </w:r>
      <w:r w:rsidR="00C97AD1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9%) </w:t>
      </w:r>
      <w:r w:rsidR="00FE2D87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presented some NCCL. </w:t>
      </w:r>
      <w:r w:rsidR="00C97AD1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70% 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presented </w:t>
      </w:r>
      <w:proofErr w:type="spellStart"/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abfraction</w:t>
      </w:r>
      <w:proofErr w:type="spellEnd"/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</w:t>
      </w:r>
      <w:r w:rsidR="00C97AD1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41% abras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ion and no patient presented erosion. Statistical analysis showed a p-value of 0.03, which demonstrated </w:t>
      </w:r>
      <w:r w:rsidR="00FE2D87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significant </w:t>
      </w:r>
      <w:r w:rsidR="009E4A3F" w:rsidRPr="009B49F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statistical </w:t>
      </w:r>
      <w:r w:rsidR="00FE2D87"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difference of NCCL between the groups. Conclusion: a higher frequency of NCCL in patients with bruxism </w:t>
      </w:r>
      <w:proofErr w:type="gramStart"/>
      <w:r w:rsidR="00FE2D87"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was observed</w:t>
      </w:r>
      <w:proofErr w:type="gramEnd"/>
      <w:r w:rsidR="00FE2D87"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when compared to patients without this </w:t>
      </w:r>
      <w:proofErr w:type="spellStart"/>
      <w:r w:rsidR="00FE2D87"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parafuction</w:t>
      </w:r>
      <w:proofErr w:type="spellEnd"/>
      <w:r w:rsidR="00FE2D87"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9B49F5" w:rsidRPr="009B49F5" w:rsidRDefault="009B49F5" w:rsidP="009B49F5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  <w:proofErr w:type="gramStart"/>
      <w:r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Key-words</w:t>
      </w:r>
      <w:proofErr w:type="gramEnd"/>
      <w:r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abfraction</w:t>
      </w:r>
      <w:proofErr w:type="spellEnd"/>
      <w:r w:rsidRPr="009B49F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; bruxism; </w:t>
      </w:r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non-carious cervical lesions</w:t>
      </w:r>
    </w:p>
    <w:p w:rsidR="009B49F5" w:rsidRPr="009B49F5" w:rsidRDefault="009B49F5" w:rsidP="009B49F5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</w:p>
    <w:p w:rsidR="009B49F5" w:rsidRPr="009B49F5" w:rsidRDefault="009B49F5" w:rsidP="009B49F5">
      <w:pPr>
        <w:spacing w:line="48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9B49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RESUMO</w:t>
      </w:r>
    </w:p>
    <w:p w:rsidR="009B49F5" w:rsidRPr="009B49F5" w:rsidRDefault="009B49F5" w:rsidP="009B49F5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9F5">
        <w:rPr>
          <w:rFonts w:ascii="Arial" w:hAnsi="Arial" w:cs="Arial"/>
          <w:sz w:val="24"/>
          <w:szCs w:val="24"/>
        </w:rPr>
        <w:t>Objetivo:</w:t>
      </w:r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verificar a frequência de lesões não cariosas nos pacientes com e sem bruxismo do sono e tentar relacionar a ocorrência dessas lesões a esse hábito </w:t>
      </w:r>
      <w:proofErr w:type="spellStart"/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parafuncional</w:t>
      </w:r>
      <w:proofErr w:type="spellEnd"/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Materiais e Métodos: </w:t>
      </w:r>
      <w:r w:rsidRPr="009B49F5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foram avaliados 67 pacientes com idade entre 18 e 70 anos, os quais assinaram um termo de consentimento livre e esclarecido. Foram excluídos da pesquisa </w:t>
      </w:r>
      <w:r w:rsidRPr="009B49F5">
        <w:rPr>
          <w:rFonts w:ascii="Arial" w:eastAsia="TimesNewRomanPSMT" w:hAnsi="Arial" w:cs="Arial"/>
          <w:color w:val="000000" w:themeColor="text1"/>
          <w:sz w:val="24"/>
          <w:szCs w:val="24"/>
        </w:rPr>
        <w:lastRenderedPageBreak/>
        <w:t xml:space="preserve">pacientes com doenças neurológicas e/ou </w:t>
      </w:r>
      <w:proofErr w:type="spellStart"/>
      <w:r w:rsidRPr="009B49F5">
        <w:rPr>
          <w:rFonts w:ascii="Arial" w:hAnsi="Arial" w:cs="Arial"/>
          <w:color w:val="000000" w:themeColor="text1"/>
          <w:sz w:val="24"/>
          <w:szCs w:val="24"/>
        </w:rPr>
        <w:t>endêntulos</w:t>
      </w:r>
      <w:proofErr w:type="spellEnd"/>
      <w:r w:rsidRPr="009B49F5">
        <w:rPr>
          <w:rFonts w:ascii="Arial" w:hAnsi="Arial" w:cs="Arial"/>
          <w:color w:val="000000" w:themeColor="text1"/>
          <w:sz w:val="24"/>
          <w:szCs w:val="24"/>
        </w:rPr>
        <w:t xml:space="preserve"> parciais ou totais. O diagnóstico de bruxismo foi realizado através de um questionário validado </w:t>
      </w:r>
      <w:r w:rsidRPr="009B49F5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que se baseiam na combinação de pelo menos duas constatações positivas de bruxismo. </w:t>
      </w:r>
      <w:r w:rsidRPr="009B49F5">
        <w:rPr>
          <w:rFonts w:ascii="Arial" w:hAnsi="Arial" w:cs="Arial"/>
          <w:color w:val="000000" w:themeColor="text1"/>
          <w:sz w:val="24"/>
          <w:szCs w:val="24"/>
        </w:rPr>
        <w:t xml:space="preserve">O diagnóstico das lesões cervicais não cariosas (LCNC) foi realizado por um único examinador calibrado, e observadas mediante utilização de sonda clínica n° 5, espelho clínico </w:t>
      </w:r>
      <w:proofErr w:type="spellStart"/>
      <w:r w:rsidRPr="009B49F5">
        <w:rPr>
          <w:rFonts w:ascii="Arial" w:hAnsi="Arial" w:cs="Arial"/>
          <w:color w:val="000000" w:themeColor="text1"/>
          <w:sz w:val="24"/>
          <w:szCs w:val="24"/>
        </w:rPr>
        <w:t>intraoral</w:t>
      </w:r>
      <w:proofErr w:type="spellEnd"/>
      <w:r w:rsidRPr="009B49F5">
        <w:rPr>
          <w:rFonts w:ascii="Arial" w:hAnsi="Arial" w:cs="Arial"/>
          <w:color w:val="000000" w:themeColor="text1"/>
          <w:sz w:val="24"/>
          <w:szCs w:val="24"/>
        </w:rPr>
        <w:t xml:space="preserve"> e jato de ar, analisando todas as faces de todos dos dentes presentes em boca. Essas foram classificadas em </w:t>
      </w:r>
      <w:proofErr w:type="spellStart"/>
      <w:r w:rsidRPr="009B49F5">
        <w:rPr>
          <w:rFonts w:ascii="Arial" w:hAnsi="Arial" w:cs="Arial"/>
          <w:color w:val="000000" w:themeColor="text1"/>
          <w:sz w:val="24"/>
          <w:szCs w:val="24"/>
        </w:rPr>
        <w:t>abfração</w:t>
      </w:r>
      <w:proofErr w:type="spellEnd"/>
      <w:r w:rsidRPr="009B49F5">
        <w:rPr>
          <w:rFonts w:ascii="Arial" w:hAnsi="Arial" w:cs="Arial"/>
          <w:color w:val="000000" w:themeColor="text1"/>
          <w:sz w:val="24"/>
          <w:szCs w:val="24"/>
        </w:rPr>
        <w:t xml:space="preserve">, abrasão ou erosão. A </w:t>
      </w:r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análise estatística foi realizada pelo</w:t>
      </w:r>
      <w:r w:rsidRPr="009B49F5">
        <w:rPr>
          <w:rFonts w:ascii="Arial" w:hAnsi="Arial" w:cs="Arial"/>
          <w:color w:val="000000" w:themeColor="text1"/>
          <w:sz w:val="24"/>
          <w:szCs w:val="24"/>
        </w:rPr>
        <w:t xml:space="preserve"> teste U de Mann-Whitney para tratamento estatístico com nível de significância de 5%. Resultados: </w:t>
      </w:r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9B49F5">
        <w:rPr>
          <w:rFonts w:ascii="Arial" w:hAnsi="Arial" w:cs="Arial"/>
          <w:bCs/>
          <w:color w:val="000000" w:themeColor="text1"/>
          <w:sz w:val="24"/>
          <w:szCs w:val="24"/>
        </w:rPr>
        <w:t>essenta</w:t>
      </w:r>
      <w:r w:rsidRPr="009B49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pacientes foram diagnosticados com bruxismo </w:t>
      </w:r>
      <w:r w:rsidRPr="009B49F5">
        <w:rPr>
          <w:rFonts w:ascii="Arial" w:hAnsi="Arial" w:cs="Arial"/>
          <w:bCs/>
          <w:color w:val="000000" w:themeColor="text1"/>
          <w:sz w:val="24"/>
          <w:szCs w:val="24"/>
        </w:rPr>
        <w:t xml:space="preserve">(91,3%) e apenas sete pacientes (8,7%) não possuíam esse hábito </w:t>
      </w:r>
      <w:proofErr w:type="spellStart"/>
      <w:r w:rsidRPr="009B49F5">
        <w:rPr>
          <w:rFonts w:ascii="Arial" w:hAnsi="Arial" w:cs="Arial"/>
          <w:bCs/>
          <w:color w:val="000000" w:themeColor="text1"/>
          <w:sz w:val="24"/>
          <w:szCs w:val="24"/>
        </w:rPr>
        <w:t>parafuncional</w:t>
      </w:r>
      <w:proofErr w:type="spellEnd"/>
      <w:r w:rsidRPr="009B49F5">
        <w:rPr>
          <w:rFonts w:ascii="Arial" w:hAnsi="Arial" w:cs="Arial"/>
          <w:bCs/>
          <w:color w:val="000000" w:themeColor="text1"/>
          <w:sz w:val="24"/>
          <w:szCs w:val="24"/>
        </w:rPr>
        <w:t xml:space="preserve">. Independente do gênero, cinco pacientes (10,1%) possuíam ausência e sessenta e dois pacientes (89,9%) possuíam presença de alguma LCNC. 70% possuíam </w:t>
      </w:r>
      <w:proofErr w:type="spellStart"/>
      <w:r w:rsidRPr="009B49F5">
        <w:rPr>
          <w:rFonts w:ascii="Arial" w:hAnsi="Arial" w:cs="Arial"/>
          <w:bCs/>
          <w:color w:val="000000" w:themeColor="text1"/>
          <w:sz w:val="24"/>
          <w:szCs w:val="24"/>
        </w:rPr>
        <w:t>abfração</w:t>
      </w:r>
      <w:proofErr w:type="spellEnd"/>
      <w:r w:rsidRPr="009B49F5">
        <w:rPr>
          <w:rFonts w:ascii="Arial" w:hAnsi="Arial" w:cs="Arial"/>
          <w:bCs/>
          <w:color w:val="000000" w:themeColor="text1"/>
          <w:sz w:val="24"/>
          <w:szCs w:val="24"/>
        </w:rPr>
        <w:t>, 41% abrasão e nenhum paciente apresentou erosão. O teste estatístico obteve um p-valor igual a</w:t>
      </w:r>
      <w:r w:rsidRPr="009B49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0,03; demostrando uma diferença estatisticamente significativa da presença de LCNC entre os grupos. Conclusão:  </w:t>
      </w:r>
      <w:r w:rsidRPr="009B49F5">
        <w:rPr>
          <w:rFonts w:ascii="Arial" w:hAnsi="Arial" w:cs="Arial"/>
          <w:color w:val="000000" w:themeColor="text1"/>
          <w:sz w:val="24"/>
          <w:szCs w:val="24"/>
        </w:rPr>
        <w:t xml:space="preserve">nota-se que houve uma maior frequência de LCNC em pacientes com bruxismo em comparação ao grupo que não apresentou essa </w:t>
      </w:r>
      <w:proofErr w:type="spellStart"/>
      <w:r w:rsidRPr="009B49F5">
        <w:rPr>
          <w:rFonts w:ascii="Arial" w:hAnsi="Arial" w:cs="Arial"/>
          <w:color w:val="000000" w:themeColor="text1"/>
          <w:sz w:val="24"/>
          <w:szCs w:val="24"/>
        </w:rPr>
        <w:t>parafunção</w:t>
      </w:r>
      <w:proofErr w:type="spellEnd"/>
      <w:r w:rsidRPr="009B49F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B49F5" w:rsidRPr="009B49F5" w:rsidRDefault="009B49F5" w:rsidP="009B49F5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49F5">
        <w:rPr>
          <w:rFonts w:ascii="Arial" w:hAnsi="Arial" w:cs="Arial"/>
          <w:color w:val="000000" w:themeColor="text1"/>
          <w:sz w:val="24"/>
          <w:szCs w:val="24"/>
        </w:rPr>
        <w:t xml:space="preserve">Palavras-chave: </w:t>
      </w:r>
      <w:proofErr w:type="spellStart"/>
      <w:r w:rsidRPr="009B49F5">
        <w:rPr>
          <w:rFonts w:ascii="Arial" w:hAnsi="Arial" w:cs="Arial"/>
          <w:color w:val="000000" w:themeColor="text1"/>
          <w:sz w:val="24"/>
          <w:szCs w:val="24"/>
        </w:rPr>
        <w:t>abgração</w:t>
      </w:r>
      <w:proofErr w:type="spellEnd"/>
      <w:r w:rsidRPr="009B49F5">
        <w:rPr>
          <w:rFonts w:ascii="Arial" w:hAnsi="Arial" w:cs="Arial"/>
          <w:color w:val="000000" w:themeColor="text1"/>
          <w:sz w:val="24"/>
          <w:szCs w:val="24"/>
        </w:rPr>
        <w:t>; bruxismo; lesão cervical não cariosa</w:t>
      </w:r>
    </w:p>
    <w:p w:rsidR="009B49F5" w:rsidRPr="009B49F5" w:rsidRDefault="009B49F5" w:rsidP="009B49F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B49F5" w:rsidRPr="009B49F5" w:rsidSect="009B49F5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B2"/>
    <w:rsid w:val="00081FA5"/>
    <w:rsid w:val="00423B9A"/>
    <w:rsid w:val="005212B2"/>
    <w:rsid w:val="006C1188"/>
    <w:rsid w:val="006E4786"/>
    <w:rsid w:val="009B49F5"/>
    <w:rsid w:val="009C6C24"/>
    <w:rsid w:val="009E4A3F"/>
    <w:rsid w:val="00C97AD1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A81C-CE57-4C51-98A5-34633BA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Soares</dc:creator>
  <cp:lastModifiedBy>Jean Soares</cp:lastModifiedBy>
  <cp:revision>3</cp:revision>
  <dcterms:created xsi:type="dcterms:W3CDTF">2017-06-20T15:57:00Z</dcterms:created>
  <dcterms:modified xsi:type="dcterms:W3CDTF">2017-06-20T16:04:00Z</dcterms:modified>
</cp:coreProperties>
</file>