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72" w:rsidRDefault="00767072" w:rsidP="00767072">
      <w:pPr>
        <w:pStyle w:val="Heading1"/>
        <w:spacing w:line="480" w:lineRule="auto"/>
        <w:ind w:right="113"/>
        <w:jc w:val="both"/>
        <w:rPr>
          <w:b w:val="0"/>
          <w:lang w:val="en-US"/>
        </w:rPr>
      </w:pPr>
      <w:r w:rsidRPr="00767072">
        <w:rPr>
          <w:b w:val="0"/>
          <w:i/>
          <w:lang w:val="en-US"/>
        </w:rPr>
        <w:t>Title:</w:t>
      </w:r>
      <w:r>
        <w:rPr>
          <w:lang w:val="en-US"/>
        </w:rPr>
        <w:t xml:space="preserve"> </w:t>
      </w:r>
      <w:r w:rsidRPr="007C289E">
        <w:rPr>
          <w:b w:val="0"/>
          <w:lang w:val="en-US"/>
        </w:rPr>
        <w:t xml:space="preserve">Effect of ozonized olive oil on oral levels of </w:t>
      </w:r>
      <w:r w:rsidRPr="007C289E">
        <w:rPr>
          <w:b w:val="0"/>
          <w:i/>
          <w:lang w:val="en-US"/>
        </w:rPr>
        <w:t xml:space="preserve">Candida </w:t>
      </w:r>
      <w:r w:rsidRPr="007C289E">
        <w:rPr>
          <w:b w:val="0"/>
          <w:lang w:val="en-US"/>
        </w:rPr>
        <w:t>spp. in patients with denture stomatitis</w:t>
      </w:r>
    </w:p>
    <w:p w:rsidR="00767072" w:rsidRPr="00BF560E" w:rsidRDefault="00767072" w:rsidP="00767072">
      <w:pPr>
        <w:pStyle w:val="Heading1"/>
        <w:spacing w:line="480" w:lineRule="auto"/>
        <w:ind w:right="113"/>
        <w:jc w:val="both"/>
        <w:rPr>
          <w:lang w:val="en-US"/>
        </w:rPr>
      </w:pPr>
      <w:bookmarkStart w:id="0" w:name="_GoBack"/>
      <w:bookmarkEnd w:id="0"/>
    </w:p>
    <w:p w:rsidR="005F7B71" w:rsidRDefault="00767072" w:rsidP="00767072">
      <w:pPr>
        <w:pStyle w:val="Heading1"/>
        <w:spacing w:line="480" w:lineRule="auto"/>
        <w:rPr>
          <w:b w:val="0"/>
          <w:lang w:val="en-US"/>
        </w:rPr>
      </w:pPr>
      <w:r w:rsidRPr="00767072">
        <w:rPr>
          <w:b w:val="0"/>
          <w:i/>
          <w:lang w:val="en-US"/>
        </w:rPr>
        <w:t>Abstract</w:t>
      </w:r>
    </w:p>
    <w:p w:rsidR="005F7B71" w:rsidRDefault="005F7B71" w:rsidP="005F7B71">
      <w:pPr>
        <w:pStyle w:val="BodyText"/>
        <w:spacing w:before="230" w:line="480" w:lineRule="auto"/>
        <w:ind w:left="118" w:right="111"/>
        <w:rPr>
          <w:lang w:val="en-US"/>
        </w:rPr>
      </w:pPr>
      <w:r w:rsidRPr="00767072">
        <w:rPr>
          <w:i/>
          <w:lang w:val="en-US"/>
        </w:rPr>
        <w:t>Objective:</w:t>
      </w:r>
      <w:r>
        <w:rPr>
          <w:lang w:val="en-US"/>
        </w:rPr>
        <w:t xml:space="preserve"> The aim was to evaluate the effect of Ozonized oil (OZ) on oral candidal levels in denture stomatitis patients. </w:t>
      </w:r>
      <w:r w:rsidRPr="00767072">
        <w:rPr>
          <w:lang w:val="en-US"/>
        </w:rPr>
        <w:t xml:space="preserve">Methods: </w:t>
      </w:r>
      <w:r>
        <w:rPr>
          <w:lang w:val="en-US"/>
        </w:rPr>
        <w:t xml:space="preserve">In vitro tests were performed to validate antifungal activity and to standardize OZ conditions. Antifungal activity was screened against </w:t>
      </w:r>
      <w:r>
        <w:rPr>
          <w:i/>
          <w:lang w:val="en-US"/>
        </w:rPr>
        <w:t xml:space="preserve">C. albicans </w:t>
      </w:r>
      <w:r>
        <w:rPr>
          <w:lang w:val="en-US"/>
        </w:rPr>
        <w:t>and five non-</w:t>
      </w:r>
      <w:r>
        <w:rPr>
          <w:i/>
          <w:lang w:val="en-US"/>
        </w:rPr>
        <w:t xml:space="preserve">albicans </w:t>
      </w:r>
      <w:r>
        <w:rPr>
          <w:lang w:val="en-US"/>
        </w:rPr>
        <w:t xml:space="preserve">species. Also, the effects on </w:t>
      </w:r>
      <w:r>
        <w:rPr>
          <w:i/>
          <w:lang w:val="en-US"/>
        </w:rPr>
        <w:t xml:space="preserve">C. albicans </w:t>
      </w:r>
      <w:r>
        <w:rPr>
          <w:lang w:val="en-US"/>
        </w:rPr>
        <w:t xml:space="preserve">planktonic and biofilm were evaluated. After validation, OZ was included in a therapeutic protocol of denture stomatitis in vivo. Patients used OZ or sodium bicarbonate (SB) for 14 days. After 7 and 14 days, clinical evaluation, isolation and identification of yeasts were performed. OZ showed activity against all species of </w:t>
      </w:r>
      <w:r>
        <w:rPr>
          <w:i/>
          <w:lang w:val="en-US"/>
        </w:rPr>
        <w:t>Candida</w:t>
      </w:r>
      <w:r>
        <w:rPr>
          <w:lang w:val="en-US"/>
        </w:rPr>
        <w:t xml:space="preserve">. OZ reduced the number of viable cells in </w:t>
      </w:r>
      <w:r>
        <w:rPr>
          <w:i/>
          <w:lang w:val="en-US"/>
        </w:rPr>
        <w:t xml:space="preserve">C. albicans </w:t>
      </w:r>
      <w:r>
        <w:rPr>
          <w:lang w:val="en-US"/>
        </w:rPr>
        <w:t>biofilms. Oral candidal levels were lower in relation to baseline both after treatment with SB and OZ after 14 days of treatment</w:t>
      </w:r>
      <w:r w:rsidRPr="00767072">
        <w:rPr>
          <w:lang w:val="en-US"/>
        </w:rPr>
        <w:t xml:space="preserve">. Results: </w:t>
      </w:r>
      <w:r>
        <w:rPr>
          <w:lang w:val="en-US"/>
        </w:rPr>
        <w:t xml:space="preserve">A total of 493 </w:t>
      </w:r>
      <w:r>
        <w:rPr>
          <w:i/>
          <w:lang w:val="en-US"/>
        </w:rPr>
        <w:t xml:space="preserve">Candida </w:t>
      </w:r>
      <w:r>
        <w:rPr>
          <w:lang w:val="en-US"/>
        </w:rPr>
        <w:t xml:space="preserve">spp. isolates was obtained and 80% were identified as </w:t>
      </w:r>
      <w:r>
        <w:rPr>
          <w:i/>
          <w:lang w:val="en-US"/>
        </w:rPr>
        <w:t>C. albicans</w:t>
      </w:r>
      <w:r>
        <w:rPr>
          <w:lang w:val="en-US"/>
        </w:rPr>
        <w:t xml:space="preserve">. Remission of erythematous stomatitis lesions was observed in all patients after 7 days of treatment both groups. </w:t>
      </w:r>
      <w:r w:rsidRPr="00767072">
        <w:rPr>
          <w:lang w:val="en-US"/>
        </w:rPr>
        <w:t xml:space="preserve">Conclusions: </w:t>
      </w:r>
      <w:r>
        <w:rPr>
          <w:lang w:val="en-US"/>
        </w:rPr>
        <w:t>Within the limits of the study we can conclude that ozonized oil can be a new alternative for the control of biofilm in patients with denture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stomatitis.</w:t>
      </w:r>
    </w:p>
    <w:p w:rsidR="005F7B71" w:rsidRDefault="005F7B71" w:rsidP="005F7B71">
      <w:pPr>
        <w:pStyle w:val="BodyText"/>
        <w:spacing w:before="9" w:line="480" w:lineRule="auto"/>
        <w:jc w:val="left"/>
        <w:rPr>
          <w:lang w:val="en-US"/>
        </w:rPr>
      </w:pPr>
    </w:p>
    <w:p w:rsidR="005F7B71" w:rsidRDefault="005F7B71" w:rsidP="005F7B71">
      <w:pPr>
        <w:pStyle w:val="BodyText"/>
        <w:spacing w:before="9" w:line="480" w:lineRule="auto"/>
        <w:jc w:val="left"/>
        <w:rPr>
          <w:lang w:val="en-US"/>
        </w:rPr>
      </w:pPr>
    </w:p>
    <w:p w:rsidR="005F7B71" w:rsidRDefault="005F7B71" w:rsidP="005F7B71">
      <w:pPr>
        <w:pStyle w:val="BodyText"/>
        <w:spacing w:before="9" w:line="480" w:lineRule="auto"/>
        <w:jc w:val="left"/>
        <w:rPr>
          <w:lang w:val="en-US"/>
        </w:rPr>
      </w:pPr>
    </w:p>
    <w:p w:rsidR="005F7B71" w:rsidRDefault="005F7B71" w:rsidP="005F7B71">
      <w:pPr>
        <w:pStyle w:val="BodyText"/>
        <w:spacing w:before="9" w:line="480" w:lineRule="auto"/>
        <w:jc w:val="left"/>
        <w:rPr>
          <w:lang w:val="en-US"/>
        </w:rPr>
      </w:pPr>
    </w:p>
    <w:p w:rsidR="005F7B71" w:rsidRDefault="005F7B71" w:rsidP="005F7B71">
      <w:pPr>
        <w:pStyle w:val="BodyText"/>
        <w:spacing w:before="1" w:line="480" w:lineRule="auto"/>
        <w:ind w:left="118"/>
        <w:rPr>
          <w:lang w:val="en-US"/>
        </w:rPr>
      </w:pPr>
      <w:r w:rsidRPr="00767072">
        <w:rPr>
          <w:i/>
          <w:lang w:val="en-US"/>
        </w:rPr>
        <w:t>Key-words:</w:t>
      </w:r>
      <w:r>
        <w:rPr>
          <w:lang w:val="en-US"/>
        </w:rPr>
        <w:t xml:space="preserve"> Ozone; </w:t>
      </w:r>
      <w:r>
        <w:rPr>
          <w:i/>
          <w:lang w:val="en-US"/>
        </w:rPr>
        <w:t>Candida</w:t>
      </w:r>
      <w:r>
        <w:rPr>
          <w:lang w:val="en-US"/>
        </w:rPr>
        <w:t>; antifungal; stomatitis; denture.</w:t>
      </w:r>
    </w:p>
    <w:p w:rsidR="00020574" w:rsidRPr="005F7B71" w:rsidRDefault="00020574" w:rsidP="005F7B71">
      <w:pPr>
        <w:rPr>
          <w:lang w:val="en-US"/>
        </w:rPr>
      </w:pPr>
    </w:p>
    <w:sectPr w:rsidR="00020574" w:rsidRPr="005F7B71">
      <w:pgSz w:w="11910" w:h="16840"/>
      <w:pgMar w:top="128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DD" w:rsidRDefault="00E31BDD">
      <w:r>
        <w:separator/>
      </w:r>
    </w:p>
  </w:endnote>
  <w:endnote w:type="continuationSeparator" w:id="0">
    <w:p w:rsidR="00E31BDD" w:rsidRDefault="00E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DD" w:rsidRDefault="00E31BDD">
      <w:r>
        <w:separator/>
      </w:r>
    </w:p>
  </w:footnote>
  <w:footnote w:type="continuationSeparator" w:id="0">
    <w:p w:rsidR="00E31BDD" w:rsidRDefault="00E3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082F"/>
    <w:multiLevelType w:val="hybridMultilevel"/>
    <w:tmpl w:val="6CF8071C"/>
    <w:lvl w:ilvl="0" w:tplc="FAE0F53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D75219B6">
      <w:numFmt w:val="bullet"/>
      <w:lvlText w:val="•"/>
      <w:lvlJc w:val="left"/>
      <w:pPr>
        <w:ind w:left="1362" w:hanging="360"/>
      </w:pPr>
      <w:rPr>
        <w:rFonts w:hint="default"/>
        <w:lang w:val="pt-BR" w:eastAsia="pt-BR" w:bidi="pt-BR"/>
      </w:rPr>
    </w:lvl>
    <w:lvl w:ilvl="2" w:tplc="DC8EE362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C472E528">
      <w:numFmt w:val="bullet"/>
      <w:lvlText w:val="•"/>
      <w:lvlJc w:val="left"/>
      <w:pPr>
        <w:ind w:left="3127" w:hanging="360"/>
      </w:pPr>
      <w:rPr>
        <w:rFonts w:hint="default"/>
        <w:lang w:val="pt-BR" w:eastAsia="pt-BR" w:bidi="pt-BR"/>
      </w:rPr>
    </w:lvl>
    <w:lvl w:ilvl="4" w:tplc="F26255C2">
      <w:numFmt w:val="bullet"/>
      <w:lvlText w:val="•"/>
      <w:lvlJc w:val="left"/>
      <w:pPr>
        <w:ind w:left="4010" w:hanging="360"/>
      </w:pPr>
      <w:rPr>
        <w:rFonts w:hint="default"/>
        <w:lang w:val="pt-BR" w:eastAsia="pt-BR" w:bidi="pt-BR"/>
      </w:rPr>
    </w:lvl>
    <w:lvl w:ilvl="5" w:tplc="84F4171A">
      <w:numFmt w:val="bullet"/>
      <w:lvlText w:val="•"/>
      <w:lvlJc w:val="left"/>
      <w:pPr>
        <w:ind w:left="4893" w:hanging="360"/>
      </w:pPr>
      <w:rPr>
        <w:rFonts w:hint="default"/>
        <w:lang w:val="pt-BR" w:eastAsia="pt-BR" w:bidi="pt-BR"/>
      </w:rPr>
    </w:lvl>
    <w:lvl w:ilvl="6" w:tplc="B372D130">
      <w:numFmt w:val="bullet"/>
      <w:lvlText w:val="•"/>
      <w:lvlJc w:val="left"/>
      <w:pPr>
        <w:ind w:left="5775" w:hanging="360"/>
      </w:pPr>
      <w:rPr>
        <w:rFonts w:hint="default"/>
        <w:lang w:val="pt-BR" w:eastAsia="pt-BR" w:bidi="pt-BR"/>
      </w:rPr>
    </w:lvl>
    <w:lvl w:ilvl="7" w:tplc="9808D548">
      <w:numFmt w:val="bullet"/>
      <w:lvlText w:val="•"/>
      <w:lvlJc w:val="left"/>
      <w:pPr>
        <w:ind w:left="6658" w:hanging="360"/>
      </w:pPr>
      <w:rPr>
        <w:rFonts w:hint="default"/>
        <w:lang w:val="pt-BR" w:eastAsia="pt-BR" w:bidi="pt-BR"/>
      </w:rPr>
    </w:lvl>
    <w:lvl w:ilvl="8" w:tplc="D93081FC">
      <w:numFmt w:val="bullet"/>
      <w:lvlText w:val="•"/>
      <w:lvlJc w:val="left"/>
      <w:pPr>
        <w:ind w:left="7541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54"/>
    <w:rsid w:val="00020574"/>
    <w:rsid w:val="000421D4"/>
    <w:rsid w:val="00054979"/>
    <w:rsid w:val="000D6AA2"/>
    <w:rsid w:val="00127344"/>
    <w:rsid w:val="00135EC9"/>
    <w:rsid w:val="00166BB1"/>
    <w:rsid w:val="001C6E68"/>
    <w:rsid w:val="002043BD"/>
    <w:rsid w:val="00214532"/>
    <w:rsid w:val="00233A99"/>
    <w:rsid w:val="002D18E4"/>
    <w:rsid w:val="00406D86"/>
    <w:rsid w:val="00464A69"/>
    <w:rsid w:val="00562E91"/>
    <w:rsid w:val="00592066"/>
    <w:rsid w:val="005B36A3"/>
    <w:rsid w:val="005F7B71"/>
    <w:rsid w:val="006424E3"/>
    <w:rsid w:val="006B1CA0"/>
    <w:rsid w:val="00767072"/>
    <w:rsid w:val="00777654"/>
    <w:rsid w:val="007C289E"/>
    <w:rsid w:val="007D4ACD"/>
    <w:rsid w:val="0081075E"/>
    <w:rsid w:val="00816CE1"/>
    <w:rsid w:val="008246FF"/>
    <w:rsid w:val="008C4513"/>
    <w:rsid w:val="00933AB3"/>
    <w:rsid w:val="00961D86"/>
    <w:rsid w:val="009D0B56"/>
    <w:rsid w:val="009D5CE8"/>
    <w:rsid w:val="00A066EC"/>
    <w:rsid w:val="00A47C9D"/>
    <w:rsid w:val="00A642A4"/>
    <w:rsid w:val="00A956FE"/>
    <w:rsid w:val="00AC127E"/>
    <w:rsid w:val="00B13209"/>
    <w:rsid w:val="00B25583"/>
    <w:rsid w:val="00B92A6B"/>
    <w:rsid w:val="00BB4410"/>
    <w:rsid w:val="00BF560E"/>
    <w:rsid w:val="00C52E10"/>
    <w:rsid w:val="00C93F74"/>
    <w:rsid w:val="00E31BDD"/>
    <w:rsid w:val="00E66180"/>
    <w:rsid w:val="00ED5AE1"/>
    <w:rsid w:val="00EE401C"/>
    <w:rsid w:val="00F37FC9"/>
    <w:rsid w:val="00F75A3D"/>
    <w:rsid w:val="00F7689C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616EF-1255-4A63-B002-5ACCCC7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Heading1">
    <w:name w:val="heading 1"/>
    <w:basedOn w:val="Normal"/>
    <w:uiPriority w:val="1"/>
    <w:qFormat/>
    <w:pPr>
      <w:spacing w:before="12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A642A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42A4"/>
    <w:pPr>
      <w:widowControl/>
      <w:autoSpaceDE/>
      <w:autoSpaceDN/>
    </w:pPr>
    <w:rPr>
      <w:rFonts w:ascii="Cambria" w:eastAsia="MS Mincho" w:hAnsi="Cambria"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2A4"/>
    <w:rPr>
      <w:rFonts w:ascii="Cambria" w:eastAsia="MS Mincho" w:hAnsi="Cambria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Introdução</vt:lpstr>
      <vt:lpstr>ABSTRACT</vt:lpstr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Guilherme</dc:creator>
  <cp:lastModifiedBy>Janete Almeida</cp:lastModifiedBy>
  <cp:revision>4</cp:revision>
  <dcterms:created xsi:type="dcterms:W3CDTF">2017-10-16T15:11:00Z</dcterms:created>
  <dcterms:modified xsi:type="dcterms:W3CDTF">2017-10-16T15:16:00Z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