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58" w:rsidRPr="00931FED" w:rsidRDefault="00E73C58" w:rsidP="004A4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Arial" w:hAnsi="Arial" w:cs="Arial"/>
          <w:b/>
          <w:color w:val="212121"/>
        </w:rPr>
      </w:pPr>
      <w:r w:rsidRPr="004A4A9E">
        <w:rPr>
          <w:rFonts w:ascii="Arial" w:hAnsi="Arial" w:cs="Arial"/>
          <w:b/>
          <w:color w:val="212121"/>
          <w:lang w:val="en"/>
        </w:rPr>
        <w:t xml:space="preserve">Intrusion of upper molars with mini-implants for open bite correction is effective? </w:t>
      </w:r>
      <w:r w:rsidRPr="00931FED">
        <w:rPr>
          <w:rFonts w:ascii="Arial" w:hAnsi="Arial" w:cs="Arial"/>
          <w:b/>
          <w:color w:val="212121"/>
        </w:rPr>
        <w:t>A systematic review</w:t>
      </w:r>
    </w:p>
    <w:p w:rsidR="004A4A9E" w:rsidRPr="00931FED" w:rsidRDefault="004A4A9E" w:rsidP="004A4A9E">
      <w:pPr>
        <w:pStyle w:val="Corpodetexto"/>
        <w:spacing w:line="480" w:lineRule="auto"/>
        <w:jc w:val="center"/>
        <w:rPr>
          <w:rFonts w:ascii="Arial" w:hAnsi="Arial" w:cs="Arial"/>
          <w:b/>
          <w:bCs/>
          <w:sz w:val="24"/>
          <w:lang w:val="en-US"/>
        </w:rPr>
      </w:pPr>
      <w:r w:rsidRPr="004A4A9E">
        <w:rPr>
          <w:rFonts w:ascii="Arial" w:hAnsi="Arial" w:cs="Arial"/>
          <w:b/>
          <w:bCs/>
          <w:sz w:val="24"/>
        </w:rPr>
        <w:t xml:space="preserve">A intrusão de molares superiores com mini-implantes para correção da mordida aberta é eficaz? </w:t>
      </w:r>
      <w:r w:rsidRPr="00931FED">
        <w:rPr>
          <w:rFonts w:ascii="Arial" w:hAnsi="Arial" w:cs="Arial"/>
          <w:b/>
          <w:bCs/>
          <w:sz w:val="24"/>
          <w:lang w:val="en-US"/>
        </w:rPr>
        <w:t>Revisão sistemática</w:t>
      </w:r>
    </w:p>
    <w:p w:rsidR="00E73C58" w:rsidRPr="004A4A9E" w:rsidRDefault="00E73C58" w:rsidP="004A4A9E">
      <w:pPr>
        <w:pStyle w:val="Corpodetexto"/>
        <w:spacing w:line="480" w:lineRule="auto"/>
        <w:rPr>
          <w:rFonts w:ascii="Arial" w:hAnsi="Arial" w:cs="Arial"/>
          <w:b/>
          <w:sz w:val="24"/>
          <w:lang w:val="en-US"/>
        </w:rPr>
      </w:pPr>
    </w:p>
    <w:p w:rsidR="00E73C58" w:rsidRPr="004A4A9E" w:rsidRDefault="00E73C58" w:rsidP="004A4A9E">
      <w:pPr>
        <w:pStyle w:val="Corpodetexto"/>
        <w:spacing w:line="480" w:lineRule="auto"/>
        <w:rPr>
          <w:rFonts w:ascii="Arial" w:hAnsi="Arial" w:cs="Arial"/>
          <w:b/>
          <w:sz w:val="24"/>
          <w:lang w:val="en-US"/>
        </w:rPr>
      </w:pPr>
      <w:r w:rsidRPr="004A4A9E">
        <w:rPr>
          <w:rFonts w:ascii="Arial" w:hAnsi="Arial" w:cs="Arial"/>
          <w:b/>
          <w:sz w:val="24"/>
          <w:lang w:val="en-US"/>
        </w:rPr>
        <w:t>ABSTRACT</w:t>
      </w:r>
    </w:p>
    <w:p w:rsidR="00E73C58" w:rsidRPr="004A4A9E" w:rsidRDefault="00B0453C" w:rsidP="004A4A9E">
      <w:pPr>
        <w:pStyle w:val="Pr-formataoHTML"/>
        <w:shd w:val="clear" w:color="auto" w:fill="FFFFFF"/>
        <w:spacing w:line="480" w:lineRule="auto"/>
        <w:jc w:val="both"/>
        <w:rPr>
          <w:rFonts w:ascii="Arial" w:hAnsi="Arial" w:cs="Arial"/>
          <w:color w:val="212121"/>
          <w:sz w:val="24"/>
          <w:szCs w:val="24"/>
          <w:lang w:val="en-US"/>
        </w:rPr>
      </w:pPr>
      <w:r w:rsidRPr="00B0453C">
        <w:rPr>
          <w:rFonts w:ascii="Arial" w:hAnsi="Arial" w:cs="Arial"/>
          <w:b/>
          <w:color w:val="212121"/>
          <w:sz w:val="24"/>
          <w:szCs w:val="24"/>
          <w:lang w:val="en"/>
        </w:rPr>
        <w:t>Introduction:</w:t>
      </w:r>
      <w:r>
        <w:rPr>
          <w:rFonts w:ascii="Arial" w:hAnsi="Arial" w:cs="Arial"/>
          <w:color w:val="212121"/>
          <w:sz w:val="24"/>
          <w:szCs w:val="24"/>
          <w:lang w:val="en"/>
        </w:rPr>
        <w:t xml:space="preserve"> </w:t>
      </w:r>
      <w:r w:rsidR="00E73C58" w:rsidRPr="004A4A9E">
        <w:rPr>
          <w:rFonts w:ascii="Arial" w:hAnsi="Arial" w:cs="Arial"/>
          <w:color w:val="212121"/>
          <w:sz w:val="24"/>
          <w:szCs w:val="24"/>
          <w:lang w:val="en"/>
        </w:rPr>
        <w:t xml:space="preserve">The open bite is a malocclusion defined by the absence of a positive vertical overlap of the upper incisors over the lower ones. It is believed that the correction of this malocclusion with mini-implants is as effective as another technique. </w:t>
      </w:r>
      <w:r w:rsidRPr="00B0453C">
        <w:rPr>
          <w:rFonts w:ascii="Arial" w:hAnsi="Arial" w:cs="Arial"/>
          <w:b/>
          <w:color w:val="212121"/>
          <w:sz w:val="24"/>
          <w:szCs w:val="24"/>
          <w:lang w:val="en"/>
        </w:rPr>
        <w:t>O</w:t>
      </w:r>
      <w:r w:rsidR="00E73C58" w:rsidRPr="00B0453C">
        <w:rPr>
          <w:rFonts w:ascii="Arial" w:hAnsi="Arial" w:cs="Arial"/>
          <w:b/>
          <w:color w:val="212121"/>
          <w:sz w:val="24"/>
          <w:szCs w:val="24"/>
          <w:lang w:val="en"/>
        </w:rPr>
        <w:t>bjective</w:t>
      </w:r>
      <w:r w:rsidRPr="00B0453C">
        <w:rPr>
          <w:rFonts w:ascii="Arial" w:hAnsi="Arial" w:cs="Arial"/>
          <w:b/>
          <w:color w:val="212121"/>
          <w:sz w:val="24"/>
          <w:szCs w:val="24"/>
          <w:lang w:val="en"/>
        </w:rPr>
        <w:t>:</w:t>
      </w:r>
      <w:r w:rsidR="00E73C58" w:rsidRPr="004A4A9E">
        <w:rPr>
          <w:rFonts w:ascii="Arial" w:hAnsi="Arial" w:cs="Arial"/>
          <w:color w:val="212121"/>
          <w:sz w:val="24"/>
          <w:szCs w:val="24"/>
          <w:lang w:val="en"/>
        </w:rPr>
        <w:t xml:space="preserve"> </w:t>
      </w:r>
      <w:r>
        <w:rPr>
          <w:rFonts w:ascii="Arial" w:hAnsi="Arial" w:cs="Arial"/>
          <w:color w:val="212121"/>
          <w:sz w:val="24"/>
          <w:szCs w:val="24"/>
          <w:lang w:val="en"/>
        </w:rPr>
        <w:t>T</w:t>
      </w:r>
      <w:r w:rsidR="00E73C58" w:rsidRPr="004A4A9E">
        <w:rPr>
          <w:rFonts w:ascii="Arial" w:hAnsi="Arial" w:cs="Arial"/>
          <w:color w:val="212121"/>
          <w:sz w:val="24"/>
          <w:szCs w:val="24"/>
          <w:lang w:val="en"/>
        </w:rPr>
        <w:t xml:space="preserve">o verify by scientific evidence the effectiveness of upper molar intrusion with mini-implants for correction of open bite. </w:t>
      </w:r>
      <w:r w:rsidRPr="00B0453C">
        <w:rPr>
          <w:rFonts w:ascii="Arial" w:hAnsi="Arial" w:cs="Arial"/>
          <w:b/>
          <w:color w:val="212121"/>
          <w:sz w:val="24"/>
          <w:szCs w:val="24"/>
          <w:lang w:val="en"/>
        </w:rPr>
        <w:t>Method:</w:t>
      </w:r>
      <w:r>
        <w:rPr>
          <w:rFonts w:ascii="Arial" w:hAnsi="Arial" w:cs="Arial"/>
          <w:color w:val="212121"/>
          <w:sz w:val="24"/>
          <w:szCs w:val="24"/>
          <w:lang w:val="en"/>
        </w:rPr>
        <w:t xml:space="preserve"> </w:t>
      </w:r>
      <w:r w:rsidR="00E73C58" w:rsidRPr="004A4A9E">
        <w:rPr>
          <w:rFonts w:ascii="Arial" w:hAnsi="Arial" w:cs="Arial"/>
          <w:color w:val="212121"/>
          <w:sz w:val="24"/>
          <w:szCs w:val="24"/>
          <w:lang w:val="en"/>
        </w:rPr>
        <w:t xml:space="preserve">This systematic review was conducted according to the PRISMA guidelines. Cochrane Handbook for Systematic Reviews of Interventions (version 5.3) was used to assess the methodological quality and risk of bias of the included studies. </w:t>
      </w:r>
      <w:r w:rsidRPr="00B0453C">
        <w:rPr>
          <w:rFonts w:ascii="Arial" w:hAnsi="Arial" w:cs="Arial"/>
          <w:b/>
          <w:color w:val="212121"/>
          <w:sz w:val="24"/>
          <w:szCs w:val="24"/>
          <w:lang w:val="en"/>
        </w:rPr>
        <w:t>Results:</w:t>
      </w:r>
      <w:r w:rsidR="00E73C58" w:rsidRPr="004A4A9E">
        <w:rPr>
          <w:rFonts w:ascii="Arial" w:hAnsi="Arial" w:cs="Arial"/>
          <w:color w:val="212121"/>
          <w:sz w:val="24"/>
          <w:szCs w:val="24"/>
          <w:lang w:val="en"/>
        </w:rPr>
        <w:t xml:space="preserve"> During the selection and evaluation process, 795 of the 1297 papers were eligible for research in their titles and abstracts. Repeated articles were removed and as a result, 21 articles were retrieved and read completely. Those who did not meet the inclusion criteria were excluded, resulting in only 6 articles that were included. </w:t>
      </w:r>
      <w:r w:rsidRPr="00B0453C">
        <w:rPr>
          <w:rFonts w:ascii="Arial" w:hAnsi="Arial" w:cs="Arial"/>
          <w:b/>
          <w:color w:val="212121"/>
          <w:sz w:val="24"/>
          <w:szCs w:val="24"/>
          <w:lang w:val="en"/>
        </w:rPr>
        <w:t>Conclusions:</w:t>
      </w:r>
      <w:r>
        <w:rPr>
          <w:rFonts w:ascii="Arial" w:hAnsi="Arial" w:cs="Arial"/>
          <w:color w:val="212121"/>
          <w:sz w:val="24"/>
          <w:szCs w:val="24"/>
          <w:lang w:val="en"/>
        </w:rPr>
        <w:t xml:space="preserve"> The i</w:t>
      </w:r>
      <w:r w:rsidR="00E73C58" w:rsidRPr="004A4A9E">
        <w:rPr>
          <w:rFonts w:ascii="Arial" w:hAnsi="Arial" w:cs="Arial"/>
          <w:color w:val="212121"/>
          <w:sz w:val="24"/>
          <w:szCs w:val="24"/>
          <w:lang w:val="en"/>
        </w:rPr>
        <w:t>ntrusion of the upper molars with the use of mini-implants as a skeletal anchor is effective for open bite correction. When the technique of upper molar intrusion with mini-implants was compared with the technique of posterior high pull and incisor extrusion, the first one was more effective for the correction of open bite. The recurrence of molar intrusion does not invalidate mini-implant treatment for open bite correction because the benefits achieved outweigh the small dental relapse.</w:t>
      </w:r>
    </w:p>
    <w:p w:rsidR="004A4A9E" w:rsidRDefault="004A4A9E" w:rsidP="004A4A9E">
      <w:pPr>
        <w:pStyle w:val="Pr-formataoHTML"/>
        <w:shd w:val="clear" w:color="auto" w:fill="FFFFFF"/>
        <w:spacing w:line="480" w:lineRule="auto"/>
        <w:jc w:val="both"/>
        <w:rPr>
          <w:rFonts w:ascii="Arial" w:hAnsi="Arial" w:cs="Arial"/>
          <w:b/>
          <w:color w:val="212121"/>
          <w:sz w:val="24"/>
          <w:szCs w:val="24"/>
          <w:lang w:val="en-US"/>
        </w:rPr>
      </w:pPr>
      <w:r w:rsidRPr="004A4A9E">
        <w:rPr>
          <w:rFonts w:ascii="Arial" w:hAnsi="Arial" w:cs="Arial"/>
          <w:b/>
          <w:color w:val="212121"/>
          <w:sz w:val="24"/>
          <w:szCs w:val="24"/>
          <w:lang w:val="en-US"/>
        </w:rPr>
        <w:lastRenderedPageBreak/>
        <w:t>KEYWORDS</w:t>
      </w:r>
    </w:p>
    <w:p w:rsidR="00E73C58" w:rsidRDefault="00E73C58" w:rsidP="004A4A9E">
      <w:pPr>
        <w:pStyle w:val="Pr-formataoHTML"/>
        <w:shd w:val="clear" w:color="auto" w:fill="FFFFFF"/>
        <w:spacing w:line="480" w:lineRule="auto"/>
        <w:jc w:val="both"/>
        <w:rPr>
          <w:rFonts w:ascii="Arial" w:hAnsi="Arial" w:cs="Arial"/>
          <w:color w:val="212121"/>
          <w:sz w:val="24"/>
          <w:szCs w:val="24"/>
          <w:lang w:val="en-US"/>
        </w:rPr>
      </w:pPr>
      <w:r w:rsidRPr="004A4A9E">
        <w:rPr>
          <w:rFonts w:ascii="Arial" w:hAnsi="Arial" w:cs="Arial"/>
          <w:color w:val="212121"/>
          <w:sz w:val="24"/>
          <w:szCs w:val="24"/>
          <w:lang w:val="en-US"/>
        </w:rPr>
        <w:t xml:space="preserve"> Orthodontics, corrective</w:t>
      </w:r>
      <w:r w:rsidR="004A4A9E">
        <w:rPr>
          <w:rFonts w:ascii="Arial" w:hAnsi="Arial" w:cs="Arial"/>
          <w:color w:val="212121"/>
          <w:sz w:val="24"/>
          <w:szCs w:val="24"/>
          <w:lang w:val="en-US"/>
        </w:rPr>
        <w:t>;</w:t>
      </w:r>
      <w:r w:rsidRPr="004A4A9E">
        <w:rPr>
          <w:rFonts w:ascii="Arial" w:hAnsi="Arial" w:cs="Arial"/>
          <w:color w:val="212121"/>
          <w:sz w:val="24"/>
          <w:szCs w:val="24"/>
          <w:lang w:val="en-US"/>
        </w:rPr>
        <w:t xml:space="preserve"> Tooth intrusion</w:t>
      </w:r>
      <w:r w:rsidR="004A4A9E">
        <w:rPr>
          <w:rFonts w:ascii="Arial" w:hAnsi="Arial" w:cs="Arial"/>
          <w:color w:val="212121"/>
          <w:sz w:val="24"/>
          <w:szCs w:val="24"/>
          <w:lang w:val="en-US"/>
        </w:rPr>
        <w:t>;</w:t>
      </w:r>
      <w:r w:rsidRPr="004A4A9E">
        <w:rPr>
          <w:rFonts w:ascii="Arial" w:hAnsi="Arial" w:cs="Arial"/>
          <w:color w:val="212121"/>
          <w:sz w:val="24"/>
          <w:szCs w:val="24"/>
          <w:lang w:val="en-US"/>
        </w:rPr>
        <w:t xml:space="preserve"> Open bite.</w:t>
      </w:r>
    </w:p>
    <w:p w:rsidR="004A4A9E" w:rsidRDefault="004A4A9E" w:rsidP="004A4A9E">
      <w:pPr>
        <w:pStyle w:val="Pr-formataoHTML"/>
        <w:shd w:val="clear" w:color="auto" w:fill="FFFFFF"/>
        <w:spacing w:line="480" w:lineRule="auto"/>
        <w:jc w:val="both"/>
        <w:rPr>
          <w:rFonts w:ascii="Arial" w:hAnsi="Arial" w:cs="Arial"/>
          <w:color w:val="212121"/>
          <w:sz w:val="24"/>
          <w:szCs w:val="24"/>
          <w:lang w:val="en-US"/>
        </w:rPr>
      </w:pPr>
    </w:p>
    <w:p w:rsidR="004A4A9E" w:rsidRPr="004A4A9E" w:rsidRDefault="004A4A9E" w:rsidP="004A4A9E">
      <w:pPr>
        <w:pStyle w:val="Pr-formataoHTML"/>
        <w:shd w:val="clear" w:color="auto" w:fill="FFFFFF"/>
        <w:spacing w:line="480" w:lineRule="auto"/>
        <w:jc w:val="both"/>
        <w:rPr>
          <w:rFonts w:ascii="Arial" w:hAnsi="Arial" w:cs="Arial"/>
          <w:b/>
          <w:color w:val="212121"/>
          <w:sz w:val="24"/>
          <w:szCs w:val="24"/>
        </w:rPr>
      </w:pPr>
      <w:r w:rsidRPr="004A4A9E">
        <w:rPr>
          <w:rFonts w:ascii="Arial" w:hAnsi="Arial" w:cs="Arial"/>
          <w:b/>
          <w:color w:val="212121"/>
          <w:sz w:val="24"/>
          <w:szCs w:val="24"/>
        </w:rPr>
        <w:t>RESUMO</w:t>
      </w:r>
    </w:p>
    <w:p w:rsidR="004A4A9E" w:rsidRPr="004A4A9E" w:rsidRDefault="00B0453C" w:rsidP="004A4A9E">
      <w:pPr>
        <w:spacing w:line="480" w:lineRule="auto"/>
        <w:jc w:val="both"/>
        <w:rPr>
          <w:rFonts w:ascii="Arial" w:hAnsi="Arial" w:cs="Arial"/>
        </w:rPr>
      </w:pPr>
      <w:r w:rsidRPr="00B0453C">
        <w:rPr>
          <w:rFonts w:ascii="Arial" w:eastAsia="Calibri" w:hAnsi="Arial" w:cs="Arial"/>
          <w:b/>
        </w:rPr>
        <w:t>Introdução:</w:t>
      </w:r>
      <w:r>
        <w:rPr>
          <w:rFonts w:ascii="Arial" w:eastAsia="Calibri" w:hAnsi="Arial" w:cs="Arial"/>
        </w:rPr>
        <w:t xml:space="preserve"> </w:t>
      </w:r>
      <w:r w:rsidR="004A4A9E" w:rsidRPr="004A4A9E">
        <w:rPr>
          <w:rFonts w:ascii="Arial" w:eastAsia="Calibri" w:hAnsi="Arial" w:cs="Arial"/>
        </w:rPr>
        <w:t>A mordida aberta é uma má oclusão definida</w:t>
      </w:r>
      <w:r w:rsidR="004A4A9E" w:rsidRPr="004A4A9E">
        <w:rPr>
          <w:rFonts w:ascii="Arial" w:hAnsi="Arial" w:cs="Arial"/>
        </w:rPr>
        <w:t xml:space="preserve"> pela ausência de um trespasse vertical positivo dos incisivos superiores sobre os inferiores. </w:t>
      </w:r>
      <w:r w:rsidR="004A4A9E" w:rsidRPr="004A4A9E">
        <w:rPr>
          <w:rFonts w:ascii="Arial" w:eastAsia="Calibri" w:hAnsi="Arial" w:cs="Arial"/>
        </w:rPr>
        <w:t xml:space="preserve">Acredita-se que a correção desta má oclusão com mini-implantes seja tão eficaz quanto outra técnica. </w:t>
      </w:r>
      <w:r w:rsidRPr="00B0453C">
        <w:rPr>
          <w:rFonts w:ascii="Arial" w:eastAsia="Calibri" w:hAnsi="Arial" w:cs="Arial"/>
          <w:b/>
        </w:rPr>
        <w:t>O</w:t>
      </w:r>
      <w:r w:rsidR="004A4A9E" w:rsidRPr="00B0453C">
        <w:rPr>
          <w:rFonts w:ascii="Arial" w:eastAsia="Calibri" w:hAnsi="Arial" w:cs="Arial"/>
          <w:b/>
        </w:rPr>
        <w:t>bjetivo</w:t>
      </w:r>
      <w:r w:rsidRPr="00B0453C">
        <w:rPr>
          <w:rFonts w:ascii="Arial" w:eastAsia="Calibri" w:hAnsi="Arial" w:cs="Arial"/>
          <w:b/>
        </w:rPr>
        <w:t>:</w:t>
      </w:r>
      <w:r>
        <w:rPr>
          <w:rFonts w:ascii="Arial" w:eastAsia="Calibri" w:hAnsi="Arial" w:cs="Arial"/>
        </w:rPr>
        <w:t xml:space="preserve"> C</w:t>
      </w:r>
      <w:r w:rsidR="004A4A9E" w:rsidRPr="004A4A9E">
        <w:rPr>
          <w:rFonts w:ascii="Arial" w:eastAsia="Calibri" w:hAnsi="Arial" w:cs="Arial"/>
        </w:rPr>
        <w:t xml:space="preserve">onstatar por evidências científicas a eficácia da intrusão dos molares superiores com mini-implantes para correção da mordida aberta. </w:t>
      </w:r>
      <w:r w:rsidRPr="00B0453C">
        <w:rPr>
          <w:rFonts w:ascii="Arial" w:eastAsia="Calibri" w:hAnsi="Arial" w:cs="Arial"/>
          <w:b/>
        </w:rPr>
        <w:t>Método:</w:t>
      </w:r>
      <w:r>
        <w:rPr>
          <w:rFonts w:ascii="Arial" w:eastAsia="Calibri" w:hAnsi="Arial" w:cs="Arial"/>
        </w:rPr>
        <w:t xml:space="preserve"> </w:t>
      </w:r>
      <w:r w:rsidR="004A4A9E" w:rsidRPr="004A4A9E">
        <w:rPr>
          <w:rFonts w:ascii="Arial" w:eastAsia="Calibri" w:hAnsi="Arial" w:cs="Arial"/>
        </w:rPr>
        <w:t xml:space="preserve">Esta revisão sistemática foi conduzida de acordo com as diretrizes PRISMA. Para avaliar a qualidade metodológica e o risco de viés dos estudos incluídos, utilizou-se a Ferramenta Cochrane de Colaboração para avaliação do risco de viés, publicado Cochrane Handbook for Systematic Reviews of Interventions (versão 5.3). </w:t>
      </w:r>
      <w:r w:rsidRPr="00B0453C">
        <w:rPr>
          <w:rFonts w:ascii="Arial" w:eastAsia="Calibri" w:hAnsi="Arial" w:cs="Arial"/>
          <w:b/>
        </w:rPr>
        <w:t>Result</w:t>
      </w:r>
      <w:r w:rsidR="00931FED">
        <w:rPr>
          <w:rFonts w:ascii="Arial" w:eastAsia="Calibri" w:hAnsi="Arial" w:cs="Arial"/>
          <w:b/>
        </w:rPr>
        <w:t>ados</w:t>
      </w:r>
      <w:r w:rsidRPr="00B0453C">
        <w:rPr>
          <w:rFonts w:ascii="Arial" w:eastAsia="Calibri" w:hAnsi="Arial" w:cs="Arial"/>
          <w:b/>
        </w:rPr>
        <w:t>:</w:t>
      </w:r>
      <w:r>
        <w:rPr>
          <w:rFonts w:ascii="Arial" w:eastAsia="Calibri" w:hAnsi="Arial" w:cs="Arial"/>
        </w:rPr>
        <w:t xml:space="preserve"> </w:t>
      </w:r>
      <w:r w:rsidR="004A4A9E" w:rsidRPr="004A4A9E">
        <w:rPr>
          <w:rFonts w:ascii="Arial" w:eastAsia="Calibri" w:hAnsi="Arial" w:cs="Arial"/>
        </w:rPr>
        <w:t xml:space="preserve">Durante o processo de seleção e avaliação, 795 dos 1297 artigos mostraram-se elegíveis para a pesquisa em seus títulos e resumos. Os artigos repetidos foram removidos e como resultado, 21 artigos foram recuperados e lidos por completo. Aqueles que não preencheram os critérios de inclusão foram excluídos, resultando em apenas 6 artigos que foram inclusos. </w:t>
      </w:r>
      <w:r w:rsidR="004A4A9E" w:rsidRPr="00B0453C">
        <w:rPr>
          <w:rFonts w:ascii="Arial" w:eastAsia="Calibri" w:hAnsi="Arial" w:cs="Arial"/>
          <w:b/>
        </w:rPr>
        <w:t>Conclu</w:t>
      </w:r>
      <w:r w:rsidRPr="00B0453C">
        <w:rPr>
          <w:rFonts w:ascii="Arial" w:eastAsia="Calibri" w:hAnsi="Arial" w:cs="Arial"/>
          <w:b/>
        </w:rPr>
        <w:t>sões:</w:t>
      </w:r>
      <w:r w:rsidR="004A4A9E">
        <w:rPr>
          <w:rFonts w:ascii="Arial" w:eastAsia="Calibri" w:hAnsi="Arial" w:cs="Arial"/>
        </w:rPr>
        <w:t xml:space="preserve"> </w:t>
      </w:r>
      <w:r>
        <w:rPr>
          <w:rFonts w:ascii="Arial" w:eastAsia="Calibri" w:hAnsi="Arial" w:cs="Arial"/>
        </w:rPr>
        <w:t>A</w:t>
      </w:r>
      <w:r w:rsidR="004A4A9E" w:rsidRPr="004A4A9E">
        <w:rPr>
          <w:rFonts w:ascii="Arial" w:hAnsi="Arial" w:cs="Arial"/>
        </w:rPr>
        <w:t xml:space="preserve"> intrusão dos molares superiores com o uso de mini-implantes como ancoragem esquelética é eficaz para correção de mordida aberta. Quando a técnica de intrusão de molares superiores com mini-implantes foi comparada com a técnica de puxada alta posterior e extrusão de incisivos, a primeira foi mais eficaz para correção da mordida aberta. A recidiva da intrusão dos molares não invalida o tratamento com mini-implantes </w:t>
      </w:r>
      <w:r w:rsidR="004A4A9E" w:rsidRPr="004A4A9E">
        <w:rPr>
          <w:rFonts w:ascii="Arial" w:hAnsi="Arial" w:cs="Arial"/>
        </w:rPr>
        <w:lastRenderedPageBreak/>
        <w:t xml:space="preserve">para correção da mordida aberta porque os benefícios alcançados superam a pequena recidiva dentária. </w:t>
      </w:r>
    </w:p>
    <w:p w:rsidR="004A4A9E" w:rsidRPr="004A4A9E" w:rsidRDefault="004A4A9E" w:rsidP="004A4A9E">
      <w:pPr>
        <w:spacing w:line="480" w:lineRule="auto"/>
        <w:jc w:val="both"/>
        <w:rPr>
          <w:rFonts w:ascii="Arial" w:hAnsi="Arial" w:cs="Arial"/>
          <w:b/>
        </w:rPr>
      </w:pPr>
    </w:p>
    <w:p w:rsidR="004A4A9E" w:rsidRDefault="004A4A9E" w:rsidP="004A4A9E">
      <w:pPr>
        <w:spacing w:line="480" w:lineRule="auto"/>
        <w:jc w:val="both"/>
        <w:rPr>
          <w:rFonts w:ascii="Arial" w:hAnsi="Arial" w:cs="Arial"/>
          <w:b/>
        </w:rPr>
      </w:pPr>
      <w:r w:rsidRPr="004A4A9E">
        <w:rPr>
          <w:rFonts w:ascii="Arial" w:hAnsi="Arial" w:cs="Arial"/>
          <w:b/>
        </w:rPr>
        <w:t>PALAVRAS-CHAVES</w:t>
      </w:r>
    </w:p>
    <w:p w:rsidR="004A4A9E" w:rsidRPr="004A4A9E" w:rsidRDefault="004A4A9E" w:rsidP="004A4A9E">
      <w:pPr>
        <w:spacing w:line="480" w:lineRule="auto"/>
        <w:jc w:val="both"/>
        <w:rPr>
          <w:rFonts w:ascii="Arial" w:hAnsi="Arial" w:cs="Arial"/>
        </w:rPr>
      </w:pPr>
      <w:r w:rsidRPr="004A4A9E">
        <w:rPr>
          <w:rFonts w:ascii="Arial" w:hAnsi="Arial" w:cs="Arial"/>
          <w:b/>
        </w:rPr>
        <w:t xml:space="preserve"> </w:t>
      </w:r>
      <w:r w:rsidRPr="004A4A9E">
        <w:rPr>
          <w:rFonts w:ascii="Arial" w:hAnsi="Arial" w:cs="Arial"/>
        </w:rPr>
        <w:t>Ortodontia corretiva</w:t>
      </w:r>
      <w:r>
        <w:rPr>
          <w:rFonts w:ascii="Arial" w:hAnsi="Arial" w:cs="Arial"/>
        </w:rPr>
        <w:t>;</w:t>
      </w:r>
      <w:r w:rsidRPr="004A4A9E">
        <w:rPr>
          <w:rFonts w:ascii="Arial" w:hAnsi="Arial" w:cs="Arial"/>
        </w:rPr>
        <w:t xml:space="preserve"> Intrusão dentária</w:t>
      </w:r>
      <w:r>
        <w:rPr>
          <w:rFonts w:ascii="Arial" w:hAnsi="Arial" w:cs="Arial"/>
        </w:rPr>
        <w:t>;</w:t>
      </w:r>
      <w:r w:rsidRPr="004A4A9E">
        <w:rPr>
          <w:rFonts w:ascii="Arial" w:hAnsi="Arial" w:cs="Arial"/>
        </w:rPr>
        <w:t xml:space="preserve"> Mordida aberta.</w:t>
      </w:r>
    </w:p>
    <w:p w:rsidR="004A4A9E" w:rsidRPr="004A4A9E" w:rsidRDefault="004A4A9E" w:rsidP="004A4A9E">
      <w:pPr>
        <w:pStyle w:val="Pr-formataoHTML"/>
        <w:shd w:val="clear" w:color="auto" w:fill="FFFFFF"/>
        <w:spacing w:line="480" w:lineRule="auto"/>
        <w:jc w:val="both"/>
        <w:rPr>
          <w:rFonts w:ascii="Arial" w:hAnsi="Arial" w:cs="Arial"/>
          <w:color w:val="212121"/>
          <w:sz w:val="24"/>
          <w:szCs w:val="24"/>
        </w:rPr>
      </w:pPr>
    </w:p>
    <w:p w:rsidR="00E73C58" w:rsidRPr="004A4A9E" w:rsidRDefault="00E73C58" w:rsidP="004A4A9E">
      <w:pPr>
        <w:pStyle w:val="Corpodetexto"/>
        <w:spacing w:line="480" w:lineRule="auto"/>
        <w:rPr>
          <w:rFonts w:ascii="Arial" w:hAnsi="Arial" w:cs="Arial"/>
          <w:b/>
          <w:sz w:val="24"/>
          <w:lang w:val="en-US"/>
        </w:rPr>
      </w:pPr>
      <w:r w:rsidRPr="004A4A9E">
        <w:rPr>
          <w:rFonts w:ascii="Arial" w:hAnsi="Arial" w:cs="Arial"/>
          <w:b/>
          <w:sz w:val="24"/>
          <w:lang w:val="en-US"/>
        </w:rPr>
        <w:t>INTRODUCTION</w:t>
      </w:r>
    </w:p>
    <w:p w:rsidR="00E73C58" w:rsidRPr="004A4A9E" w:rsidRDefault="00E73C58" w:rsidP="004A4A9E">
      <w:pPr>
        <w:pStyle w:val="Pr-formataoHTML"/>
        <w:shd w:val="clear" w:color="auto" w:fill="FFFFFF"/>
        <w:tabs>
          <w:tab w:val="clear" w:pos="916"/>
          <w:tab w:val="left" w:pos="709"/>
        </w:tabs>
        <w:spacing w:line="480" w:lineRule="auto"/>
        <w:jc w:val="both"/>
        <w:rPr>
          <w:rFonts w:ascii="Arial" w:hAnsi="Arial" w:cs="Arial"/>
          <w:color w:val="212121"/>
          <w:sz w:val="24"/>
          <w:szCs w:val="24"/>
          <w:lang w:val="en-US"/>
        </w:rPr>
      </w:pPr>
      <w:r w:rsidRPr="004A4A9E">
        <w:rPr>
          <w:rFonts w:ascii="Arial" w:hAnsi="Arial" w:cs="Arial"/>
          <w:sz w:val="24"/>
          <w:szCs w:val="24"/>
          <w:lang w:val="en-US"/>
        </w:rPr>
        <w:tab/>
      </w:r>
      <w:r w:rsidRPr="004A4A9E">
        <w:rPr>
          <w:rFonts w:ascii="Arial" w:hAnsi="Arial" w:cs="Arial"/>
          <w:color w:val="212121"/>
          <w:sz w:val="24"/>
          <w:szCs w:val="24"/>
          <w:lang w:val="en"/>
        </w:rPr>
        <w:t>The anterior open bite (MAA) is one of the vertical occlusions that most concern the orthodontic clinic. We can define it as the absence of a positive vertical overjet of the upper incisors on the inferior ones (overbite)</w:t>
      </w:r>
      <w:r w:rsidR="004A4A9E">
        <w:rPr>
          <w:rFonts w:ascii="Arial" w:hAnsi="Arial" w:cs="Arial"/>
          <w:color w:val="212121"/>
          <w:sz w:val="24"/>
          <w:szCs w:val="24"/>
          <w:lang w:val="en"/>
        </w:rPr>
        <w:t>[1]</w:t>
      </w:r>
      <w:r w:rsidR="00171178" w:rsidRPr="004A4A9E">
        <w:rPr>
          <w:rFonts w:ascii="Arial" w:hAnsi="Arial" w:cs="Arial"/>
          <w:color w:val="212121"/>
          <w:sz w:val="24"/>
          <w:szCs w:val="24"/>
          <w:lang w:val="en"/>
        </w:rPr>
        <w:t>.</w:t>
      </w:r>
      <w:r w:rsidRPr="004A4A9E">
        <w:rPr>
          <w:rFonts w:ascii="Arial" w:hAnsi="Arial" w:cs="Arial"/>
          <w:color w:val="212121"/>
          <w:sz w:val="24"/>
          <w:szCs w:val="24"/>
          <w:lang w:val="en"/>
        </w:rPr>
        <w:t xml:space="preserve"> This malocclusion causes great impairment in the masticatory function and in the phonation by hindering the seizure and the cut of foods and the pronunciation of some phonemes. In addition, it may impair aesthetics and affect self-esteem, which justifies its correction</w:t>
      </w:r>
      <w:r w:rsidR="004A4A9E">
        <w:rPr>
          <w:rFonts w:ascii="Arial" w:hAnsi="Arial" w:cs="Arial"/>
          <w:color w:val="212121"/>
          <w:sz w:val="24"/>
          <w:szCs w:val="24"/>
          <w:lang w:val="en"/>
        </w:rPr>
        <w:t>[2]</w:t>
      </w:r>
      <w:r w:rsidR="00171178" w:rsidRPr="004A4A9E">
        <w:rPr>
          <w:rFonts w:ascii="Arial" w:hAnsi="Arial" w:cs="Arial"/>
          <w:color w:val="212121"/>
          <w:sz w:val="24"/>
          <w:szCs w:val="24"/>
          <w:lang w:val="en"/>
        </w:rPr>
        <w:t>.</w:t>
      </w:r>
    </w:p>
    <w:p w:rsidR="00E73C58" w:rsidRPr="004A4A9E" w:rsidRDefault="00E73C58"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4A4A9E">
        <w:rPr>
          <w:rFonts w:ascii="Arial" w:hAnsi="Arial" w:cs="Arial"/>
          <w:color w:val="212121"/>
          <w:lang w:val="en"/>
        </w:rPr>
        <w:tab/>
        <w:t>Its etiology may be related to changes in normal breathing patterns, dental ankylosis, incomplete eruption of the anterior teeth, permanence of an infant swallowing pattern and presence of deleterious or non-nutritive oral habits, such as digital sucking or pacifiers. In addition, an unfavorable pattern of maxillary posterior dento-alveolar growth, with vertical predominance, may favor the development of this malocclusion</w:t>
      </w:r>
      <w:r w:rsidR="004A4A9E">
        <w:rPr>
          <w:rFonts w:ascii="Arial" w:hAnsi="Arial" w:cs="Arial"/>
          <w:color w:val="212121"/>
          <w:lang w:val="en"/>
        </w:rPr>
        <w:t>[2,3]</w:t>
      </w:r>
      <w:r w:rsidR="00171178" w:rsidRPr="004A4A9E">
        <w:rPr>
          <w:rFonts w:ascii="Arial" w:hAnsi="Arial" w:cs="Arial"/>
          <w:color w:val="212121"/>
          <w:lang w:val="en"/>
        </w:rPr>
        <w:t>.</w:t>
      </w:r>
    </w:p>
    <w:p w:rsidR="00E73C58" w:rsidRPr="004A4A9E" w:rsidRDefault="00E73C58"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r w:rsidRPr="004A4A9E">
        <w:rPr>
          <w:rFonts w:ascii="Arial" w:hAnsi="Arial" w:cs="Arial"/>
          <w:color w:val="212121"/>
          <w:lang w:val="en"/>
        </w:rPr>
        <w:tab/>
        <w:t>Therapeutic approaches are numerous such as: myotherapy, preventive treatment, functional therapy, orthognathic surgery and orthodontic treatment with the intrusion of the posterior teeth or extrusion of the anterior teeth</w:t>
      </w:r>
      <w:r w:rsidR="00BE3E71">
        <w:rPr>
          <w:rFonts w:ascii="Arial" w:hAnsi="Arial" w:cs="Arial"/>
          <w:color w:val="212121"/>
          <w:lang w:val="en"/>
        </w:rPr>
        <w:t>[4]</w:t>
      </w:r>
      <w:r w:rsidR="00171178" w:rsidRPr="004A4A9E">
        <w:rPr>
          <w:rFonts w:ascii="Arial" w:hAnsi="Arial" w:cs="Arial"/>
          <w:color w:val="212121"/>
          <w:lang w:val="en"/>
        </w:rPr>
        <w:t>.</w:t>
      </w:r>
      <w:r w:rsidRPr="004A4A9E">
        <w:rPr>
          <w:rFonts w:ascii="Arial" w:hAnsi="Arial" w:cs="Arial"/>
          <w:color w:val="212121"/>
          <w:vertAlign w:val="superscript"/>
          <w:lang w:val="en"/>
        </w:rPr>
        <w:t xml:space="preserve"> </w:t>
      </w:r>
      <w:r w:rsidRPr="004A4A9E">
        <w:rPr>
          <w:rFonts w:ascii="Arial" w:hAnsi="Arial" w:cs="Arial"/>
          <w:color w:val="212121"/>
          <w:lang w:val="en"/>
        </w:rPr>
        <w:t>Among the non-surgical methods of orthodontic treatment are temporary anchoring devices, including mini -plates and mini-implants</w:t>
      </w:r>
      <w:r w:rsidR="00BE3E71">
        <w:rPr>
          <w:rFonts w:ascii="Arial" w:hAnsi="Arial" w:cs="Arial"/>
          <w:color w:val="212121"/>
          <w:lang w:val="en"/>
        </w:rPr>
        <w:t>[5-7]</w:t>
      </w:r>
      <w:r w:rsidR="00171178" w:rsidRPr="004A4A9E">
        <w:rPr>
          <w:rFonts w:ascii="Arial" w:hAnsi="Arial" w:cs="Arial"/>
          <w:color w:val="212121"/>
          <w:lang w:val="en"/>
        </w:rPr>
        <w:t>.</w:t>
      </w:r>
      <w:r w:rsidRPr="004A4A9E">
        <w:rPr>
          <w:rFonts w:ascii="Arial" w:hAnsi="Arial" w:cs="Arial"/>
          <w:color w:val="212121"/>
          <w:vertAlign w:val="superscript"/>
          <w:lang w:val="en"/>
        </w:rPr>
        <w:t xml:space="preserve"> </w:t>
      </w:r>
      <w:r w:rsidRPr="004A4A9E">
        <w:rPr>
          <w:rFonts w:ascii="Arial" w:hAnsi="Arial" w:cs="Arial"/>
          <w:color w:val="212121"/>
          <w:lang w:val="en"/>
        </w:rPr>
        <w:t xml:space="preserve"> However, the extrusion of </w:t>
      </w:r>
      <w:r w:rsidRPr="004A4A9E">
        <w:rPr>
          <w:rFonts w:ascii="Arial" w:hAnsi="Arial" w:cs="Arial"/>
          <w:color w:val="212121"/>
          <w:lang w:val="en"/>
        </w:rPr>
        <w:lastRenderedPageBreak/>
        <w:t xml:space="preserve">the anterior teeth demands greater care with the aesthetic smile and is a less stable treatment than the intrusion of the posterior </w:t>
      </w:r>
      <w:r w:rsidR="00BE3E71">
        <w:rPr>
          <w:rFonts w:ascii="Arial" w:hAnsi="Arial" w:cs="Arial"/>
          <w:color w:val="212121"/>
          <w:lang w:val="en"/>
        </w:rPr>
        <w:t>teeth[8]</w:t>
      </w:r>
      <w:r w:rsidR="00171178" w:rsidRPr="004A4A9E">
        <w:rPr>
          <w:rFonts w:ascii="Arial" w:hAnsi="Arial" w:cs="Arial"/>
          <w:color w:val="212121"/>
          <w:lang w:val="en"/>
        </w:rPr>
        <w:t>.</w:t>
      </w:r>
    </w:p>
    <w:p w:rsidR="00E73C58" w:rsidRPr="004A4A9E" w:rsidRDefault="00E73C58"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4A4A9E">
        <w:rPr>
          <w:rFonts w:ascii="Arial" w:hAnsi="Arial" w:cs="Arial"/>
          <w:color w:val="212121"/>
          <w:lang w:val="en"/>
        </w:rPr>
        <w:tab/>
        <w:t>The use of temporary anchorage devices for intrusion of posterior superior teeth was suggested to decrease the height of the lower third of the face by favoring the mandibular rotation counterclockwise, with results similar to that obtained with orthognathic surgery</w:t>
      </w:r>
      <w:r w:rsidR="00BE3E71">
        <w:rPr>
          <w:rFonts w:ascii="Arial" w:hAnsi="Arial" w:cs="Arial"/>
          <w:color w:val="212121"/>
          <w:lang w:val="en"/>
        </w:rPr>
        <w:t>[4,5]</w:t>
      </w:r>
      <w:r w:rsidR="00171178" w:rsidRPr="004A4A9E">
        <w:rPr>
          <w:rFonts w:ascii="Arial" w:hAnsi="Arial" w:cs="Arial"/>
          <w:color w:val="212121"/>
          <w:lang w:val="en"/>
        </w:rPr>
        <w:t>.</w:t>
      </w:r>
    </w:p>
    <w:p w:rsidR="00E73C58" w:rsidRPr="004A4A9E" w:rsidRDefault="00E73C58" w:rsidP="004A4A9E">
      <w:pPr>
        <w:pStyle w:val="Pr-formataoHTML"/>
        <w:shd w:val="clear" w:color="auto" w:fill="FFFFFF"/>
        <w:tabs>
          <w:tab w:val="clear" w:pos="916"/>
          <w:tab w:val="left" w:pos="709"/>
        </w:tabs>
        <w:spacing w:line="480" w:lineRule="auto"/>
        <w:jc w:val="both"/>
        <w:rPr>
          <w:rFonts w:ascii="Arial" w:hAnsi="Arial" w:cs="Arial"/>
          <w:color w:val="212121"/>
          <w:sz w:val="24"/>
          <w:szCs w:val="24"/>
          <w:lang w:val="en"/>
        </w:rPr>
      </w:pPr>
      <w:r w:rsidRPr="004A4A9E">
        <w:rPr>
          <w:rFonts w:ascii="Arial" w:eastAsia="Calibri" w:hAnsi="Arial" w:cs="Arial"/>
          <w:sz w:val="24"/>
          <w:szCs w:val="24"/>
          <w:lang w:val="en-US"/>
        </w:rPr>
        <w:tab/>
      </w:r>
      <w:r w:rsidRPr="004A4A9E">
        <w:rPr>
          <w:rFonts w:ascii="Arial" w:hAnsi="Arial" w:cs="Arial"/>
          <w:color w:val="212121"/>
          <w:sz w:val="24"/>
          <w:szCs w:val="24"/>
          <w:lang w:val="en"/>
        </w:rPr>
        <w:t>Dental intrusion is one of the most difficult orthodontic movements to perform, especially in the case of posterior teeth with greater root volume</w:t>
      </w:r>
      <w:r w:rsidR="00BE3E71">
        <w:rPr>
          <w:rFonts w:ascii="Arial" w:hAnsi="Arial" w:cs="Arial"/>
          <w:color w:val="212121"/>
          <w:sz w:val="24"/>
          <w:szCs w:val="24"/>
          <w:lang w:val="en"/>
        </w:rPr>
        <w:t>[9]</w:t>
      </w:r>
      <w:r w:rsidR="00171178" w:rsidRPr="004A4A9E">
        <w:rPr>
          <w:rFonts w:ascii="Arial" w:hAnsi="Arial" w:cs="Arial"/>
          <w:color w:val="212121"/>
          <w:sz w:val="24"/>
          <w:szCs w:val="24"/>
          <w:lang w:val="en"/>
        </w:rPr>
        <w:t>.</w:t>
      </w:r>
      <w:r w:rsidRPr="004A4A9E">
        <w:rPr>
          <w:rFonts w:ascii="Arial" w:hAnsi="Arial" w:cs="Arial"/>
          <w:color w:val="212121"/>
          <w:sz w:val="24"/>
          <w:szCs w:val="24"/>
          <w:lang w:val="en"/>
        </w:rPr>
        <w:t xml:space="preserve"> The greatest challenge is to obtain pure intrusive movement, avoiding the extrusive effect of the anchoring tooth, and thus solving the extrusion of one without causing that of the other. However, with advancement in orthodontics and dentistry as a whole, this obstacle can be overcome by using skeletal anchorage, using miniature titanium plates or mini-implants. This type of anchoring allows dental movement to occur without undesirable effects and without patient dependence and, therefore, with more predictable results</w:t>
      </w:r>
      <w:r w:rsidR="00BE3E71">
        <w:rPr>
          <w:rFonts w:ascii="Arial" w:hAnsi="Arial" w:cs="Arial"/>
          <w:color w:val="212121"/>
          <w:sz w:val="24"/>
          <w:szCs w:val="24"/>
          <w:lang w:val="en"/>
        </w:rPr>
        <w:t>[10-12]</w:t>
      </w:r>
      <w:r w:rsidR="00171178" w:rsidRPr="004A4A9E">
        <w:rPr>
          <w:rFonts w:ascii="Arial" w:hAnsi="Arial" w:cs="Arial"/>
          <w:color w:val="212121"/>
          <w:sz w:val="24"/>
          <w:szCs w:val="24"/>
          <w:lang w:val="en"/>
        </w:rPr>
        <w:t>.</w:t>
      </w:r>
    </w:p>
    <w:p w:rsidR="00E73C58" w:rsidRPr="004A4A9E" w:rsidRDefault="00E73C58"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4A4A9E">
        <w:rPr>
          <w:rFonts w:ascii="Arial" w:hAnsi="Arial" w:cs="Arial"/>
          <w:color w:val="212121"/>
          <w:lang w:val="en"/>
        </w:rPr>
        <w:tab/>
        <w:t>It is believed that the correction of MAA with mini-implants is effective as another technique, but with the advantage of not requiring patient collaboration and orthognathic surgery. Thus, the objective of this systematic review was to verify by scientific evidence the effectiveness of upper molar intrusion with mini-implants for correction of open bite.</w:t>
      </w:r>
    </w:p>
    <w:p w:rsidR="00E73C58" w:rsidRPr="004A4A9E" w:rsidRDefault="00E73C58" w:rsidP="004A4A9E">
      <w:pPr>
        <w:spacing w:line="480" w:lineRule="auto"/>
        <w:jc w:val="both"/>
        <w:rPr>
          <w:rFonts w:ascii="Arial" w:eastAsia="Calibri" w:hAnsi="Arial" w:cs="Arial"/>
          <w:b/>
          <w:lang w:val="en-US"/>
        </w:rPr>
      </w:pPr>
    </w:p>
    <w:p w:rsidR="00E73C58" w:rsidRPr="004A4A9E" w:rsidRDefault="00E73C58" w:rsidP="004A4A9E">
      <w:pPr>
        <w:autoSpaceDE w:val="0"/>
        <w:autoSpaceDN w:val="0"/>
        <w:adjustRightInd w:val="0"/>
        <w:spacing w:line="480" w:lineRule="auto"/>
        <w:jc w:val="both"/>
        <w:rPr>
          <w:rFonts w:ascii="Arial" w:eastAsia="Calibri" w:hAnsi="Arial" w:cs="Arial"/>
          <w:b/>
          <w:lang w:val="en-US"/>
        </w:rPr>
      </w:pPr>
      <w:r w:rsidRPr="004A4A9E">
        <w:rPr>
          <w:rFonts w:ascii="Arial" w:eastAsia="Calibri" w:hAnsi="Arial" w:cs="Arial"/>
          <w:b/>
          <w:lang w:val="en-US"/>
        </w:rPr>
        <w:t>METHOD</w:t>
      </w:r>
    </w:p>
    <w:p w:rsidR="00731C76" w:rsidRDefault="00731C76"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r w:rsidRPr="004A4A9E">
        <w:rPr>
          <w:rFonts w:ascii="Arial" w:hAnsi="Arial" w:cs="Arial"/>
          <w:color w:val="212121"/>
          <w:lang w:val="en"/>
        </w:rPr>
        <w:tab/>
      </w:r>
      <w:r w:rsidR="00E73C58" w:rsidRPr="004A4A9E">
        <w:rPr>
          <w:rFonts w:ascii="Arial" w:hAnsi="Arial" w:cs="Arial"/>
          <w:color w:val="212121"/>
          <w:lang w:val="en"/>
        </w:rPr>
        <w:t>The systematic review was</w:t>
      </w:r>
      <w:r w:rsidR="00176D09" w:rsidRPr="004A4A9E">
        <w:rPr>
          <w:rFonts w:ascii="Arial" w:hAnsi="Arial" w:cs="Arial"/>
          <w:color w:val="212121"/>
          <w:lang w:val="en"/>
        </w:rPr>
        <w:t xml:space="preserve"> </w:t>
      </w:r>
      <w:r w:rsidR="00E73C58" w:rsidRPr="004A4A9E">
        <w:rPr>
          <w:rFonts w:ascii="Arial" w:hAnsi="Arial" w:cs="Arial"/>
          <w:color w:val="212121"/>
          <w:lang w:val="en"/>
        </w:rPr>
        <w:t xml:space="preserve">conducted according to the PRISMA guidelines (www.prisma-statement.org). Independent searches were conducted in the following databases: </w:t>
      </w:r>
      <w:r w:rsidR="00E73C58" w:rsidRPr="0058778F">
        <w:rPr>
          <w:rFonts w:ascii="Arial" w:hAnsi="Arial" w:cs="Arial"/>
          <w:color w:val="212121"/>
          <w:highlight w:val="yellow"/>
          <w:lang w:val="en"/>
        </w:rPr>
        <w:t>PubM</w:t>
      </w:r>
      <w:r w:rsidR="0058778F" w:rsidRPr="0058778F">
        <w:rPr>
          <w:rFonts w:ascii="Arial" w:hAnsi="Arial" w:cs="Arial"/>
          <w:color w:val="212121"/>
          <w:highlight w:val="yellow"/>
          <w:lang w:val="en"/>
        </w:rPr>
        <w:t>ed</w:t>
      </w:r>
      <w:r w:rsidR="00E73C58" w:rsidRPr="004A4A9E">
        <w:rPr>
          <w:rFonts w:ascii="Arial" w:hAnsi="Arial" w:cs="Arial"/>
          <w:color w:val="212121"/>
          <w:lang w:val="en"/>
        </w:rPr>
        <w:t xml:space="preserve">, MedLine </w:t>
      </w:r>
      <w:r w:rsidR="00E73C58" w:rsidRPr="0058778F">
        <w:rPr>
          <w:rFonts w:ascii="Arial" w:hAnsi="Arial" w:cs="Arial"/>
          <w:color w:val="212121"/>
          <w:highlight w:val="yellow"/>
          <w:lang w:val="en"/>
        </w:rPr>
        <w:t>EBSCO</w:t>
      </w:r>
      <w:r w:rsidR="00E73C58" w:rsidRPr="004A4A9E">
        <w:rPr>
          <w:rFonts w:ascii="Arial" w:hAnsi="Arial" w:cs="Arial"/>
          <w:color w:val="212121"/>
          <w:lang w:val="en"/>
        </w:rPr>
        <w:t xml:space="preserve">, CAPES Periodicals, </w:t>
      </w:r>
      <w:r w:rsidR="00E73C58" w:rsidRPr="004A4A9E">
        <w:rPr>
          <w:rFonts w:ascii="Arial" w:hAnsi="Arial" w:cs="Arial"/>
          <w:color w:val="212121"/>
          <w:lang w:val="en"/>
        </w:rPr>
        <w:lastRenderedPageBreak/>
        <w:t xml:space="preserve">SciELO, LILACS, </w:t>
      </w:r>
      <w:r w:rsidR="00450F7A" w:rsidRPr="004A4A9E">
        <w:rPr>
          <w:rFonts w:ascii="Arial" w:hAnsi="Arial" w:cs="Arial"/>
          <w:color w:val="212121"/>
          <w:lang w:val="en"/>
        </w:rPr>
        <w:t>BVS</w:t>
      </w:r>
      <w:r w:rsidR="00E73C58" w:rsidRPr="004A4A9E">
        <w:rPr>
          <w:rFonts w:ascii="Arial" w:hAnsi="Arial" w:cs="Arial"/>
          <w:color w:val="212121"/>
          <w:lang w:val="en"/>
        </w:rPr>
        <w:t xml:space="preserve"> and Scopus, searching for articles published between 2000 and 2017. The search strategy included combinations of keywords, following the syntax rules of each database (Table 1).</w:t>
      </w:r>
    </w:p>
    <w:p w:rsidR="00BE3E71" w:rsidRPr="00BE3E71" w:rsidRDefault="00BE3E71" w:rsidP="00BE3E71">
      <w:pPr>
        <w:pStyle w:val="Pr-formataoHTML"/>
        <w:shd w:val="clear" w:color="auto" w:fill="FFFFFF"/>
        <w:spacing w:line="480" w:lineRule="auto"/>
        <w:rPr>
          <w:rFonts w:ascii="Arial" w:eastAsia="Calibri" w:hAnsi="Arial" w:cs="Arial"/>
          <w:sz w:val="24"/>
          <w:szCs w:val="24"/>
          <w:lang w:val="en-US"/>
        </w:rPr>
      </w:pPr>
      <w:r w:rsidRPr="00BE3E71">
        <w:rPr>
          <w:rFonts w:ascii="Arial" w:eastAsia="Calibri" w:hAnsi="Arial" w:cs="Arial"/>
          <w:b/>
          <w:sz w:val="24"/>
          <w:szCs w:val="24"/>
          <w:lang w:val="en-US"/>
        </w:rPr>
        <w:t>Table 1.</w:t>
      </w:r>
      <w:r w:rsidRPr="00BE3E71">
        <w:rPr>
          <w:rFonts w:ascii="Arial" w:eastAsia="Calibri" w:hAnsi="Arial" w:cs="Arial"/>
          <w:sz w:val="24"/>
          <w:szCs w:val="24"/>
          <w:lang w:val="en-US"/>
        </w:rPr>
        <w:t xml:space="preserve"> </w:t>
      </w:r>
      <w:r w:rsidRPr="00BE3E71">
        <w:rPr>
          <w:rFonts w:ascii="Arial" w:hAnsi="Arial" w:cs="Arial"/>
          <w:color w:val="212121"/>
          <w:sz w:val="24"/>
          <w:szCs w:val="24"/>
          <w:lang w:val="en"/>
        </w:rPr>
        <w:t>Database, search method and number of articles retrieved.</w:t>
      </w:r>
    </w:p>
    <w:tbl>
      <w:tblPr>
        <w:tblW w:w="0" w:type="auto"/>
        <w:tblBorders>
          <w:top w:val="single" w:sz="4" w:space="0" w:color="7F7F7F"/>
          <w:bottom w:val="single" w:sz="4" w:space="0" w:color="7F7F7F"/>
        </w:tblBorders>
        <w:tblLook w:val="04A0" w:firstRow="1" w:lastRow="0" w:firstColumn="1" w:lastColumn="0" w:noHBand="0" w:noVBand="1"/>
      </w:tblPr>
      <w:tblGrid>
        <w:gridCol w:w="1676"/>
        <w:gridCol w:w="3981"/>
        <w:gridCol w:w="1321"/>
        <w:gridCol w:w="1526"/>
      </w:tblGrid>
      <w:tr w:rsidR="00BE3E71" w:rsidRPr="00BE3E71" w:rsidTr="004426ED">
        <w:tc>
          <w:tcPr>
            <w:tcW w:w="6586" w:type="dxa"/>
            <w:gridSpan w:val="2"/>
            <w:tcBorders>
              <w:top w:val="single" w:sz="4" w:space="0" w:color="auto"/>
              <w:bottom w:val="nil"/>
            </w:tcBorders>
            <w:shd w:val="clear" w:color="auto" w:fill="auto"/>
          </w:tcPr>
          <w:p w:rsidR="00BE3E71" w:rsidRPr="00BE3E71" w:rsidRDefault="00BE3E71" w:rsidP="004426ED">
            <w:pPr>
              <w:autoSpaceDE w:val="0"/>
              <w:autoSpaceDN w:val="0"/>
              <w:adjustRightInd w:val="0"/>
              <w:spacing w:line="480" w:lineRule="auto"/>
              <w:jc w:val="center"/>
              <w:rPr>
                <w:rFonts w:ascii="Arial" w:eastAsia="Calibri" w:hAnsi="Arial" w:cs="Arial"/>
                <w:b/>
                <w:bCs/>
              </w:rPr>
            </w:pPr>
            <w:r w:rsidRPr="00BE3E71">
              <w:rPr>
                <w:rFonts w:ascii="Arial" w:eastAsia="Calibri" w:hAnsi="Arial" w:cs="Arial"/>
                <w:b/>
                <w:bCs/>
              </w:rPr>
              <w:t>Research strategy</w:t>
            </w:r>
          </w:p>
        </w:tc>
        <w:tc>
          <w:tcPr>
            <w:tcW w:w="1402" w:type="dxa"/>
            <w:tcBorders>
              <w:top w:val="single" w:sz="4" w:space="0" w:color="auto"/>
              <w:bottom w:val="nil"/>
            </w:tcBorders>
            <w:shd w:val="clear" w:color="auto" w:fill="auto"/>
          </w:tcPr>
          <w:p w:rsidR="00BE3E71" w:rsidRPr="00BE3E71" w:rsidRDefault="00BE3E71" w:rsidP="004426ED">
            <w:pPr>
              <w:autoSpaceDE w:val="0"/>
              <w:autoSpaceDN w:val="0"/>
              <w:adjustRightInd w:val="0"/>
              <w:spacing w:line="480" w:lineRule="auto"/>
              <w:jc w:val="center"/>
              <w:rPr>
                <w:rFonts w:ascii="Arial" w:eastAsia="Calibri" w:hAnsi="Arial" w:cs="Arial"/>
                <w:b/>
                <w:bCs/>
              </w:rPr>
            </w:pPr>
            <w:r w:rsidRPr="00BE3E71">
              <w:rPr>
                <w:rFonts w:ascii="Arial" w:eastAsia="Calibri" w:hAnsi="Arial" w:cs="Arial"/>
                <w:b/>
                <w:bCs/>
              </w:rPr>
              <w:t>Results</w:t>
            </w:r>
          </w:p>
        </w:tc>
        <w:tc>
          <w:tcPr>
            <w:tcW w:w="1635" w:type="dxa"/>
            <w:tcBorders>
              <w:top w:val="single" w:sz="4" w:space="0" w:color="auto"/>
              <w:bottom w:val="nil"/>
            </w:tcBorders>
            <w:shd w:val="clear" w:color="auto" w:fill="auto"/>
          </w:tcPr>
          <w:p w:rsidR="00BE3E71" w:rsidRPr="00BE3E71" w:rsidRDefault="00BE3E71" w:rsidP="004426ED">
            <w:pPr>
              <w:autoSpaceDE w:val="0"/>
              <w:autoSpaceDN w:val="0"/>
              <w:adjustRightInd w:val="0"/>
              <w:spacing w:line="480" w:lineRule="auto"/>
              <w:jc w:val="center"/>
              <w:rPr>
                <w:rFonts w:ascii="Arial" w:eastAsia="Calibri" w:hAnsi="Arial" w:cs="Arial"/>
                <w:b/>
                <w:bCs/>
              </w:rPr>
            </w:pPr>
            <w:r w:rsidRPr="00BE3E71">
              <w:rPr>
                <w:rFonts w:ascii="Arial" w:eastAsia="Calibri" w:hAnsi="Arial" w:cs="Arial"/>
                <w:b/>
                <w:bCs/>
              </w:rPr>
              <w:t>Selected</w:t>
            </w:r>
          </w:p>
        </w:tc>
      </w:tr>
      <w:tr w:rsidR="00BE3E71" w:rsidRPr="00BE3E71" w:rsidTr="004426ED">
        <w:trPr>
          <w:trHeight w:val="1829"/>
        </w:trPr>
        <w:tc>
          <w:tcPr>
            <w:tcW w:w="1756" w:type="dxa"/>
            <w:tcBorders>
              <w:top w:val="nil"/>
              <w:bottom w:val="nil"/>
            </w:tcBorders>
            <w:shd w:val="clear" w:color="auto" w:fill="auto"/>
            <w:vAlign w:val="center"/>
          </w:tcPr>
          <w:p w:rsidR="00BE3E71" w:rsidRPr="00BE3E71" w:rsidRDefault="00BE3E71" w:rsidP="0058778F">
            <w:pPr>
              <w:autoSpaceDE w:val="0"/>
              <w:autoSpaceDN w:val="0"/>
              <w:adjustRightInd w:val="0"/>
              <w:spacing w:line="480" w:lineRule="auto"/>
              <w:jc w:val="center"/>
              <w:rPr>
                <w:rFonts w:ascii="Arial" w:eastAsia="Calibri" w:hAnsi="Arial" w:cs="Arial"/>
                <w:b/>
                <w:bCs/>
              </w:rPr>
            </w:pPr>
            <w:r w:rsidRPr="00BE3E71">
              <w:rPr>
                <w:rFonts w:ascii="Arial" w:eastAsia="Calibri" w:hAnsi="Arial" w:cs="Arial"/>
                <w:b/>
                <w:bCs/>
              </w:rPr>
              <w:t>PubM</w:t>
            </w:r>
            <w:r w:rsidR="0058778F">
              <w:rPr>
                <w:rFonts w:ascii="Arial" w:eastAsia="Calibri" w:hAnsi="Arial" w:cs="Arial"/>
                <w:b/>
                <w:bCs/>
              </w:rPr>
              <w:t>ed</w:t>
            </w:r>
          </w:p>
        </w:tc>
        <w:tc>
          <w:tcPr>
            <w:tcW w:w="4830"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(Maxillary molar intrusion using mini-implants) OR (Maxillary molar intrusion using miniscrews) OR (Open bite treatment AND Maxillary molar intrusion using mini-implants) OR (Open bite treatmeant AND Maxillary molar intrusion using miniscrews)</w:t>
            </w:r>
          </w:p>
        </w:tc>
        <w:tc>
          <w:tcPr>
            <w:tcW w:w="1402"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188</w:t>
            </w:r>
          </w:p>
        </w:tc>
        <w:tc>
          <w:tcPr>
            <w:tcW w:w="1635"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12</w:t>
            </w:r>
          </w:p>
        </w:tc>
      </w:tr>
      <w:tr w:rsidR="00BE3E71" w:rsidRPr="00BE3E71" w:rsidTr="004426ED">
        <w:tc>
          <w:tcPr>
            <w:tcW w:w="1756"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b/>
                <w:bCs/>
                <w:lang w:val="en-US"/>
              </w:rPr>
            </w:pPr>
          </w:p>
        </w:tc>
        <w:tc>
          <w:tcPr>
            <w:tcW w:w="4830"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c>
          <w:tcPr>
            <w:tcW w:w="1402"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c>
          <w:tcPr>
            <w:tcW w:w="1635"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r>
      <w:tr w:rsidR="00BE3E71" w:rsidRPr="00BE3E71" w:rsidTr="004426ED">
        <w:tc>
          <w:tcPr>
            <w:tcW w:w="1756" w:type="dxa"/>
            <w:tcBorders>
              <w:top w:val="nil"/>
              <w:bottom w:val="nil"/>
            </w:tcBorders>
            <w:shd w:val="clear" w:color="auto" w:fill="auto"/>
            <w:vAlign w:val="center"/>
          </w:tcPr>
          <w:p w:rsidR="00BE3E71" w:rsidRPr="00BE3E71" w:rsidRDefault="00BE3E71" w:rsidP="0058778F">
            <w:pPr>
              <w:autoSpaceDE w:val="0"/>
              <w:autoSpaceDN w:val="0"/>
              <w:adjustRightInd w:val="0"/>
              <w:spacing w:line="480" w:lineRule="auto"/>
              <w:jc w:val="center"/>
              <w:rPr>
                <w:rFonts w:ascii="Arial" w:eastAsia="Calibri" w:hAnsi="Arial" w:cs="Arial"/>
                <w:b/>
                <w:bCs/>
                <w:lang w:val="en-US"/>
              </w:rPr>
            </w:pPr>
            <w:r w:rsidRPr="00BE3E71">
              <w:rPr>
                <w:rFonts w:ascii="Arial" w:eastAsia="Calibri" w:hAnsi="Arial" w:cs="Arial"/>
                <w:b/>
                <w:bCs/>
                <w:lang w:val="en-US"/>
              </w:rPr>
              <w:t>Medline EBSCO</w:t>
            </w:r>
          </w:p>
        </w:tc>
        <w:tc>
          <w:tcPr>
            <w:tcW w:w="4830"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(Maxillary molar intrusion using mini-implants) OR (Maxillary molar intrusion using miniscrews) OR (Open bite treatment AND Maxillary molar intrusion using mini-implants) OR (Open bite treatmeant AND Maxillary molar intrusion using miniscrews)</w:t>
            </w:r>
          </w:p>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c>
          <w:tcPr>
            <w:tcW w:w="1402"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101</w:t>
            </w:r>
          </w:p>
        </w:tc>
        <w:tc>
          <w:tcPr>
            <w:tcW w:w="1635"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9</w:t>
            </w:r>
          </w:p>
        </w:tc>
      </w:tr>
      <w:tr w:rsidR="00BE3E71" w:rsidRPr="00BE3E71" w:rsidTr="004426ED">
        <w:tc>
          <w:tcPr>
            <w:tcW w:w="1756"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b/>
                <w:bCs/>
                <w:lang w:val="en-US"/>
              </w:rPr>
            </w:pPr>
            <w:r w:rsidRPr="00BE3E71">
              <w:rPr>
                <w:rFonts w:ascii="Arial" w:eastAsia="Calibri" w:hAnsi="Arial" w:cs="Arial"/>
                <w:b/>
                <w:bCs/>
                <w:lang w:val="en-US"/>
              </w:rPr>
              <w:t>Periódicos CAPES</w:t>
            </w:r>
          </w:p>
        </w:tc>
        <w:tc>
          <w:tcPr>
            <w:tcW w:w="4830"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p>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lastRenderedPageBreak/>
              <w:t>(Maxillary molar intrusion using mini-implants) OR (Maxillary molar intrusion using miniscrews) OR (Open bite treatment AND Maxillary molar intrusion using mini-implants) OR (Open bite treatmeant AND Maxillary molar intrusion using miniscrews)</w:t>
            </w:r>
          </w:p>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c>
          <w:tcPr>
            <w:tcW w:w="1402"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lastRenderedPageBreak/>
              <w:t>846</w:t>
            </w:r>
          </w:p>
        </w:tc>
        <w:tc>
          <w:tcPr>
            <w:tcW w:w="1635"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22</w:t>
            </w:r>
          </w:p>
        </w:tc>
      </w:tr>
      <w:tr w:rsidR="00BE3E71" w:rsidRPr="00BE3E71" w:rsidTr="004426ED">
        <w:tc>
          <w:tcPr>
            <w:tcW w:w="1756"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b/>
                <w:bCs/>
                <w:lang w:val="en-US"/>
              </w:rPr>
            </w:pPr>
            <w:r w:rsidRPr="00BE3E71">
              <w:rPr>
                <w:rFonts w:ascii="Arial" w:eastAsia="Calibri" w:hAnsi="Arial" w:cs="Arial"/>
                <w:b/>
                <w:bCs/>
                <w:lang w:val="en-US"/>
              </w:rPr>
              <w:t>SciELO</w:t>
            </w:r>
          </w:p>
        </w:tc>
        <w:tc>
          <w:tcPr>
            <w:tcW w:w="4830"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p>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(Maxillary molar intrusion using mini-implants) OR (Maxillary molar intrusion using miniscrews) OR (Open bite treatment AND Maxillary molar intrusion using mini-implants) OR (Open bite treatmeant AND Maxillary molar intrusion using miniscrews)</w:t>
            </w:r>
          </w:p>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c>
          <w:tcPr>
            <w:tcW w:w="1402"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0</w:t>
            </w:r>
          </w:p>
        </w:tc>
        <w:tc>
          <w:tcPr>
            <w:tcW w:w="1635"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0</w:t>
            </w:r>
          </w:p>
        </w:tc>
      </w:tr>
      <w:tr w:rsidR="00BE3E71" w:rsidRPr="00BE3E71" w:rsidTr="004426ED">
        <w:tc>
          <w:tcPr>
            <w:tcW w:w="1756"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b/>
                <w:bCs/>
                <w:lang w:val="en-US"/>
              </w:rPr>
            </w:pPr>
            <w:r w:rsidRPr="00BE3E71">
              <w:rPr>
                <w:rFonts w:ascii="Arial" w:eastAsia="Calibri" w:hAnsi="Arial" w:cs="Arial"/>
                <w:b/>
                <w:bCs/>
                <w:lang w:val="en-US"/>
              </w:rPr>
              <w:t>LILACS</w:t>
            </w:r>
          </w:p>
        </w:tc>
        <w:tc>
          <w:tcPr>
            <w:tcW w:w="4830"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p>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 xml:space="preserve">(Maxillary molar intrusion using mini-implants) OR (Maxillary molar intrusion using miniscrews) OR (Open bite treatment AND Maxillary molar intrusion using </w:t>
            </w:r>
            <w:r w:rsidRPr="00BE3E71">
              <w:rPr>
                <w:rFonts w:ascii="Arial" w:eastAsia="Calibri" w:hAnsi="Arial" w:cs="Arial"/>
                <w:lang w:val="en-US"/>
              </w:rPr>
              <w:lastRenderedPageBreak/>
              <w:t>mini-implants) OR (Open bite treatmeant AND Maxillary molar intrusion using miniscrews)</w:t>
            </w:r>
          </w:p>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c>
          <w:tcPr>
            <w:tcW w:w="1402"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lastRenderedPageBreak/>
              <w:t>7</w:t>
            </w:r>
          </w:p>
        </w:tc>
        <w:tc>
          <w:tcPr>
            <w:tcW w:w="1635"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1</w:t>
            </w:r>
          </w:p>
        </w:tc>
      </w:tr>
      <w:tr w:rsidR="00BE3E71" w:rsidRPr="00BE3E71" w:rsidTr="004426ED">
        <w:tc>
          <w:tcPr>
            <w:tcW w:w="1756"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b/>
                <w:bCs/>
                <w:lang w:val="en-US"/>
              </w:rPr>
            </w:pPr>
            <w:r w:rsidRPr="00BE3E71">
              <w:rPr>
                <w:rFonts w:ascii="Arial" w:eastAsia="Calibri" w:hAnsi="Arial" w:cs="Arial"/>
                <w:b/>
                <w:bCs/>
                <w:lang w:val="en-US"/>
              </w:rPr>
              <w:t>BVS</w:t>
            </w:r>
          </w:p>
        </w:tc>
        <w:tc>
          <w:tcPr>
            <w:tcW w:w="4830"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rPr>
                <w:rFonts w:ascii="Arial" w:eastAsia="Calibri" w:hAnsi="Arial" w:cs="Arial"/>
                <w:lang w:val="en-US"/>
              </w:rPr>
            </w:pPr>
          </w:p>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(Maxillary molar intrusion using mini-implants) OR (Maxillary molar intrusion using miniscrews) OR (Open bite treatment AND Maxillary molar intrusion using mini-implants) OR (Open bite treatmeant AND Maxillary molar intrusion using miniscrews)</w:t>
            </w:r>
          </w:p>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c>
          <w:tcPr>
            <w:tcW w:w="1402"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46</w:t>
            </w:r>
          </w:p>
        </w:tc>
        <w:tc>
          <w:tcPr>
            <w:tcW w:w="1635"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6</w:t>
            </w:r>
          </w:p>
        </w:tc>
      </w:tr>
      <w:tr w:rsidR="00BE3E71" w:rsidRPr="00BE3E71" w:rsidTr="004426ED">
        <w:tc>
          <w:tcPr>
            <w:tcW w:w="1756"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b/>
                <w:bCs/>
                <w:lang w:val="en-US"/>
              </w:rPr>
            </w:pPr>
            <w:r w:rsidRPr="00BE3E71">
              <w:rPr>
                <w:rFonts w:ascii="Arial" w:eastAsia="Calibri" w:hAnsi="Arial" w:cs="Arial"/>
                <w:b/>
                <w:bCs/>
                <w:lang w:val="en-US"/>
              </w:rPr>
              <w:t>Scopus</w:t>
            </w:r>
          </w:p>
        </w:tc>
        <w:tc>
          <w:tcPr>
            <w:tcW w:w="4830"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p>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(Maxillary molar intrusion using mini-implants) OR (Maxillary molar intrusion using miniscrews) OR (Open bite treatment AND Maxillary molar intrusion using mini-implants) OR (Open bite treatmeant AND Maxillary molar intrusion using miniscrews)</w:t>
            </w:r>
          </w:p>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c>
          <w:tcPr>
            <w:tcW w:w="1402"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109</w:t>
            </w:r>
          </w:p>
        </w:tc>
        <w:tc>
          <w:tcPr>
            <w:tcW w:w="1635"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12</w:t>
            </w:r>
          </w:p>
        </w:tc>
      </w:tr>
      <w:tr w:rsidR="00BE3E71" w:rsidRPr="00BE3E71" w:rsidTr="004426ED">
        <w:tc>
          <w:tcPr>
            <w:tcW w:w="1756"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b/>
                <w:bCs/>
                <w:lang w:val="en-US"/>
              </w:rPr>
            </w:pPr>
            <w:r w:rsidRPr="00BE3E71">
              <w:rPr>
                <w:rFonts w:ascii="Arial" w:eastAsia="Calibri" w:hAnsi="Arial" w:cs="Arial"/>
                <w:b/>
                <w:bCs/>
                <w:lang w:val="en-US"/>
              </w:rPr>
              <w:lastRenderedPageBreak/>
              <w:t>Total articles retrieved</w:t>
            </w:r>
          </w:p>
        </w:tc>
        <w:tc>
          <w:tcPr>
            <w:tcW w:w="4830"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rPr>
                <w:rFonts w:ascii="Arial" w:eastAsia="Calibri" w:hAnsi="Arial" w:cs="Arial"/>
                <w:lang w:val="en-US"/>
              </w:rPr>
            </w:pPr>
          </w:p>
        </w:tc>
        <w:tc>
          <w:tcPr>
            <w:tcW w:w="1402"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1297</w:t>
            </w:r>
          </w:p>
        </w:tc>
        <w:tc>
          <w:tcPr>
            <w:tcW w:w="1635" w:type="dxa"/>
            <w:tcBorders>
              <w:top w:val="nil"/>
              <w:bottom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62</w:t>
            </w:r>
          </w:p>
        </w:tc>
      </w:tr>
      <w:tr w:rsidR="00BE3E71" w:rsidRPr="00BE3E71" w:rsidTr="004426ED">
        <w:tc>
          <w:tcPr>
            <w:tcW w:w="1756" w:type="dxa"/>
            <w:tcBorders>
              <w:top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b/>
                <w:bCs/>
                <w:lang w:val="en-US"/>
              </w:rPr>
            </w:pPr>
            <w:r w:rsidRPr="00BE3E71">
              <w:rPr>
                <w:rFonts w:ascii="Arial" w:eastAsia="Calibri" w:hAnsi="Arial" w:cs="Arial"/>
                <w:b/>
                <w:bCs/>
                <w:lang w:val="en-US"/>
              </w:rPr>
              <w:t>Total without repetition</w:t>
            </w:r>
          </w:p>
        </w:tc>
        <w:tc>
          <w:tcPr>
            <w:tcW w:w="4830" w:type="dxa"/>
            <w:tcBorders>
              <w:top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c>
          <w:tcPr>
            <w:tcW w:w="1402" w:type="dxa"/>
            <w:tcBorders>
              <w:top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p>
        </w:tc>
        <w:tc>
          <w:tcPr>
            <w:tcW w:w="1635" w:type="dxa"/>
            <w:tcBorders>
              <w:top w:val="nil"/>
            </w:tcBorders>
            <w:shd w:val="clear" w:color="auto" w:fill="auto"/>
            <w:vAlign w:val="center"/>
          </w:tcPr>
          <w:p w:rsidR="00BE3E71" w:rsidRPr="00BE3E71" w:rsidRDefault="00BE3E71" w:rsidP="004426ED">
            <w:pPr>
              <w:autoSpaceDE w:val="0"/>
              <w:autoSpaceDN w:val="0"/>
              <w:adjustRightInd w:val="0"/>
              <w:spacing w:line="480" w:lineRule="auto"/>
              <w:jc w:val="center"/>
              <w:rPr>
                <w:rFonts w:ascii="Arial" w:eastAsia="Calibri" w:hAnsi="Arial" w:cs="Arial"/>
                <w:lang w:val="en-US"/>
              </w:rPr>
            </w:pPr>
            <w:r w:rsidRPr="00BE3E71">
              <w:rPr>
                <w:rFonts w:ascii="Arial" w:eastAsia="Calibri" w:hAnsi="Arial" w:cs="Arial"/>
                <w:lang w:val="en-US"/>
              </w:rPr>
              <w:t>21</w:t>
            </w:r>
          </w:p>
        </w:tc>
      </w:tr>
    </w:tbl>
    <w:p w:rsidR="00BE3E71" w:rsidRPr="004A4A9E" w:rsidRDefault="00BE3E71"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p>
    <w:p w:rsidR="00E73C58" w:rsidRPr="004A4A9E" w:rsidRDefault="00731C76"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4A4A9E">
        <w:rPr>
          <w:rFonts w:ascii="Arial" w:hAnsi="Arial" w:cs="Arial"/>
          <w:color w:val="212121"/>
          <w:lang w:val="en"/>
        </w:rPr>
        <w:tab/>
      </w:r>
      <w:r w:rsidR="00E73C58" w:rsidRPr="004A4A9E">
        <w:rPr>
          <w:rFonts w:ascii="Arial" w:hAnsi="Arial" w:cs="Arial"/>
          <w:color w:val="212121"/>
          <w:lang w:val="en"/>
        </w:rPr>
        <w:t>The articles were selected based on the title and abstract, with inclusion criteria: upper molar and open bite (P - participant) extrusion patients who used mini - implants for upper molar intrusion (I - intervention). The articles also had to compare individuals of the same age and gender treated with another method of intrusion (C - comparison), establishing from the results whether the use of mini - implants for upper molar intrusion is more effective than the use of another method or there is no difference between the techniques (O - result) (Table 2). Exclusions were: literature review, editorial or personal opinions, clinical case reports, studies with individuals in the deciduous dentition, mixed or those who had prolonged use of systemic medication and / or systemic disorder or who underwent surgery for correction of the open bite.</w:t>
      </w:r>
    </w:p>
    <w:p w:rsidR="00731C76" w:rsidRPr="004A4A9E" w:rsidRDefault="00731C76"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r w:rsidRPr="004A4A9E">
        <w:rPr>
          <w:rFonts w:ascii="Arial" w:hAnsi="Arial" w:cs="Arial"/>
          <w:color w:val="212121"/>
          <w:lang w:val="en"/>
        </w:rPr>
        <w:tab/>
        <w:t>The selection of articles was performed by two investigators based on critical analyzes of inclusion and exclusion criteria and the level of agreement according to the Kappa scores was 0.96 intra-examiner and 0.95 inter-examiner. If there were discrepancies found between the two researchers, a new researcher would</w:t>
      </w:r>
      <w:r w:rsidR="00FF6102" w:rsidRPr="004A4A9E">
        <w:rPr>
          <w:rFonts w:ascii="Arial" w:hAnsi="Arial" w:cs="Arial"/>
          <w:color w:val="212121"/>
          <w:lang w:val="en"/>
        </w:rPr>
        <w:t xml:space="preserve"> </w:t>
      </w:r>
      <w:r w:rsidRPr="004A4A9E">
        <w:rPr>
          <w:rFonts w:ascii="Arial" w:hAnsi="Arial" w:cs="Arial"/>
          <w:color w:val="212121"/>
          <w:lang w:val="en"/>
        </w:rPr>
        <w:t>be added to evaluate the articles. When there was a consensus among reviewers for articles that met the inclusion criteria, the article would eventually be included in the systematic review.</w:t>
      </w:r>
    </w:p>
    <w:p w:rsidR="00BE3E71" w:rsidRPr="00BE3E71" w:rsidRDefault="00BE3E71" w:rsidP="00BE3E71">
      <w:pPr>
        <w:pStyle w:val="Pr-formataoHTML"/>
        <w:shd w:val="clear" w:color="auto" w:fill="FFFFFF"/>
        <w:spacing w:line="480" w:lineRule="auto"/>
        <w:jc w:val="both"/>
        <w:rPr>
          <w:rFonts w:ascii="Arial" w:hAnsi="Arial" w:cs="Arial"/>
          <w:color w:val="212121"/>
          <w:sz w:val="24"/>
          <w:szCs w:val="24"/>
          <w:lang w:val="en-US"/>
        </w:rPr>
      </w:pPr>
      <w:r w:rsidRPr="00BE3E71">
        <w:rPr>
          <w:rFonts w:ascii="Arial" w:eastAsia="Calibri" w:hAnsi="Arial" w:cs="Arial"/>
          <w:b/>
          <w:sz w:val="24"/>
          <w:szCs w:val="24"/>
          <w:lang w:val="en-US"/>
        </w:rPr>
        <w:lastRenderedPageBreak/>
        <w:t>Table 2</w:t>
      </w:r>
      <w:r w:rsidRPr="00BE3E71">
        <w:rPr>
          <w:rFonts w:ascii="Arial" w:eastAsia="Calibri" w:hAnsi="Arial" w:cs="Arial"/>
          <w:sz w:val="24"/>
          <w:szCs w:val="24"/>
          <w:lang w:val="en-US"/>
        </w:rPr>
        <w:t xml:space="preserve">. </w:t>
      </w:r>
      <w:r w:rsidRPr="00BE3E71">
        <w:rPr>
          <w:rFonts w:ascii="Arial" w:hAnsi="Arial" w:cs="Arial"/>
          <w:color w:val="212121"/>
          <w:sz w:val="24"/>
          <w:szCs w:val="24"/>
          <w:lang w:val="en"/>
        </w:rPr>
        <w:t>Inclusion criteria based on PICO format.</w:t>
      </w:r>
    </w:p>
    <w:tbl>
      <w:tblPr>
        <w:tblW w:w="0" w:type="auto"/>
        <w:tblBorders>
          <w:top w:val="single" w:sz="4" w:space="0" w:color="7F7F7F"/>
          <w:bottom w:val="single" w:sz="4" w:space="0" w:color="7F7F7F"/>
        </w:tblBorders>
        <w:tblLook w:val="04A0" w:firstRow="1" w:lastRow="0" w:firstColumn="1" w:lastColumn="0" w:noHBand="0" w:noVBand="1"/>
      </w:tblPr>
      <w:tblGrid>
        <w:gridCol w:w="1750"/>
        <w:gridCol w:w="3015"/>
        <w:gridCol w:w="3739"/>
      </w:tblGrid>
      <w:tr w:rsidR="00BE3E71" w:rsidRPr="00BE3E71" w:rsidTr="004426ED">
        <w:trPr>
          <w:trHeight w:val="180"/>
        </w:trPr>
        <w:tc>
          <w:tcPr>
            <w:tcW w:w="1747" w:type="dxa"/>
            <w:tcBorders>
              <w:top w:val="single" w:sz="4" w:space="0" w:color="auto"/>
              <w:bottom w:val="nil"/>
            </w:tcBorders>
            <w:shd w:val="clear" w:color="auto" w:fill="auto"/>
            <w:vAlign w:val="center"/>
          </w:tcPr>
          <w:p w:rsidR="00BE3E71" w:rsidRPr="00BE3E71" w:rsidRDefault="00BE3E71" w:rsidP="00BE3E71">
            <w:pPr>
              <w:autoSpaceDE w:val="0"/>
              <w:autoSpaceDN w:val="0"/>
              <w:adjustRightInd w:val="0"/>
              <w:spacing w:line="480" w:lineRule="auto"/>
              <w:jc w:val="both"/>
              <w:rPr>
                <w:rFonts w:ascii="Arial" w:eastAsia="Calibri" w:hAnsi="Arial" w:cs="Arial"/>
                <w:b/>
                <w:bCs/>
                <w:lang w:val="en-US"/>
              </w:rPr>
            </w:pPr>
          </w:p>
        </w:tc>
        <w:tc>
          <w:tcPr>
            <w:tcW w:w="3646" w:type="dxa"/>
            <w:tcBorders>
              <w:top w:val="single" w:sz="4" w:space="0" w:color="auto"/>
              <w:bottom w:val="nil"/>
            </w:tcBorders>
          </w:tcPr>
          <w:p w:rsidR="00BE3E71" w:rsidRPr="00BE3E71" w:rsidRDefault="00BE3E71" w:rsidP="00BE3E71">
            <w:pPr>
              <w:autoSpaceDE w:val="0"/>
              <w:autoSpaceDN w:val="0"/>
              <w:adjustRightInd w:val="0"/>
              <w:spacing w:line="480" w:lineRule="auto"/>
              <w:jc w:val="both"/>
              <w:rPr>
                <w:rFonts w:ascii="Arial" w:eastAsia="Calibri" w:hAnsi="Arial" w:cs="Arial"/>
                <w:b/>
                <w:bCs/>
                <w:lang w:val="en-US"/>
              </w:rPr>
            </w:pPr>
          </w:p>
        </w:tc>
        <w:tc>
          <w:tcPr>
            <w:tcW w:w="4219" w:type="dxa"/>
            <w:tcBorders>
              <w:top w:val="single" w:sz="4" w:space="0" w:color="auto"/>
              <w:bottom w:val="nil"/>
            </w:tcBorders>
            <w:shd w:val="clear" w:color="auto" w:fill="auto"/>
            <w:vAlign w:val="center"/>
          </w:tcPr>
          <w:p w:rsidR="00BE3E71" w:rsidRPr="00BE3E71" w:rsidRDefault="00BE3E71" w:rsidP="00BE3E71">
            <w:pPr>
              <w:autoSpaceDE w:val="0"/>
              <w:autoSpaceDN w:val="0"/>
              <w:adjustRightInd w:val="0"/>
              <w:spacing w:line="480" w:lineRule="auto"/>
              <w:jc w:val="both"/>
              <w:rPr>
                <w:rFonts w:ascii="Arial" w:eastAsia="Calibri" w:hAnsi="Arial" w:cs="Arial"/>
                <w:b/>
                <w:bCs/>
              </w:rPr>
            </w:pPr>
            <w:r w:rsidRPr="00BE3E71">
              <w:rPr>
                <w:rFonts w:ascii="Arial" w:eastAsia="Calibri" w:hAnsi="Arial" w:cs="Arial"/>
                <w:b/>
                <w:bCs/>
              </w:rPr>
              <w:t>Inclusion criteria</w:t>
            </w:r>
          </w:p>
        </w:tc>
      </w:tr>
      <w:tr w:rsidR="00BE3E71" w:rsidRPr="00C62051" w:rsidTr="004426ED">
        <w:trPr>
          <w:trHeight w:val="520"/>
        </w:trPr>
        <w:tc>
          <w:tcPr>
            <w:tcW w:w="1747" w:type="dxa"/>
            <w:tcBorders>
              <w:top w:val="nil"/>
              <w:bottom w:val="nil"/>
            </w:tcBorders>
            <w:shd w:val="clear" w:color="auto" w:fill="auto"/>
            <w:vAlign w:val="center"/>
          </w:tcPr>
          <w:p w:rsidR="00BE3E71" w:rsidRPr="00BE3E71" w:rsidRDefault="00BE3E71" w:rsidP="00BE3E71">
            <w:pPr>
              <w:autoSpaceDE w:val="0"/>
              <w:autoSpaceDN w:val="0"/>
              <w:adjustRightInd w:val="0"/>
              <w:spacing w:line="480" w:lineRule="auto"/>
              <w:jc w:val="both"/>
              <w:rPr>
                <w:rFonts w:ascii="Arial" w:eastAsia="Calibri" w:hAnsi="Arial" w:cs="Arial"/>
                <w:b/>
                <w:bCs/>
              </w:rPr>
            </w:pPr>
            <w:r w:rsidRPr="00BE3E71">
              <w:rPr>
                <w:rFonts w:ascii="Arial" w:eastAsia="Calibri" w:hAnsi="Arial" w:cs="Arial"/>
                <w:b/>
                <w:bCs/>
              </w:rPr>
              <w:t>P (participants)</w:t>
            </w:r>
          </w:p>
        </w:tc>
        <w:tc>
          <w:tcPr>
            <w:tcW w:w="3646" w:type="dxa"/>
            <w:tcBorders>
              <w:top w:val="nil"/>
              <w:bottom w:val="nil"/>
            </w:tcBorders>
          </w:tcPr>
          <w:p w:rsidR="00BE3E71" w:rsidRPr="00BE3E71" w:rsidRDefault="00BE3E71" w:rsidP="00BE3E71">
            <w:pPr>
              <w:autoSpaceDE w:val="0"/>
              <w:autoSpaceDN w:val="0"/>
              <w:adjustRightInd w:val="0"/>
              <w:spacing w:line="480" w:lineRule="auto"/>
              <w:jc w:val="both"/>
              <w:rPr>
                <w:rFonts w:ascii="Arial" w:hAnsi="Arial" w:cs="Arial"/>
              </w:rPr>
            </w:pPr>
          </w:p>
        </w:tc>
        <w:tc>
          <w:tcPr>
            <w:tcW w:w="4219" w:type="dxa"/>
            <w:tcBorders>
              <w:top w:val="nil"/>
              <w:bottom w:val="nil"/>
            </w:tcBorders>
            <w:shd w:val="clear" w:color="auto" w:fill="auto"/>
            <w:vAlign w:val="center"/>
          </w:tcPr>
          <w:p w:rsidR="00BE3E71" w:rsidRPr="00BE3E71" w:rsidRDefault="00BE3E71" w:rsidP="00BE3E71">
            <w:pPr>
              <w:autoSpaceDE w:val="0"/>
              <w:autoSpaceDN w:val="0"/>
              <w:adjustRightInd w:val="0"/>
              <w:spacing w:line="480" w:lineRule="auto"/>
              <w:jc w:val="both"/>
              <w:rPr>
                <w:rFonts w:ascii="Arial" w:hAnsi="Arial" w:cs="Arial"/>
                <w:lang w:val="en-US"/>
              </w:rPr>
            </w:pPr>
          </w:p>
          <w:p w:rsidR="00BE3E71" w:rsidRPr="00BE3E71" w:rsidRDefault="00BE3E71" w:rsidP="00BE3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BE3E71">
              <w:rPr>
                <w:rFonts w:ascii="Arial" w:hAnsi="Arial" w:cs="Arial"/>
                <w:color w:val="212121"/>
                <w:lang w:val="en"/>
              </w:rPr>
              <w:t>Patients with open bite and maxillary molar extrusion</w:t>
            </w:r>
          </w:p>
          <w:p w:rsidR="00BE3E71" w:rsidRPr="00BE3E71" w:rsidRDefault="00BE3E71" w:rsidP="00BE3E71">
            <w:pPr>
              <w:autoSpaceDE w:val="0"/>
              <w:autoSpaceDN w:val="0"/>
              <w:adjustRightInd w:val="0"/>
              <w:spacing w:line="480" w:lineRule="auto"/>
              <w:jc w:val="both"/>
              <w:rPr>
                <w:rFonts w:ascii="Arial" w:eastAsia="Calibri" w:hAnsi="Arial" w:cs="Arial"/>
                <w:lang w:val="en-US"/>
              </w:rPr>
            </w:pPr>
          </w:p>
        </w:tc>
      </w:tr>
      <w:tr w:rsidR="00BE3E71" w:rsidRPr="00C62051" w:rsidTr="004426ED">
        <w:trPr>
          <w:trHeight w:val="399"/>
        </w:trPr>
        <w:tc>
          <w:tcPr>
            <w:tcW w:w="1747" w:type="dxa"/>
            <w:tcBorders>
              <w:top w:val="nil"/>
              <w:bottom w:val="nil"/>
            </w:tcBorders>
            <w:shd w:val="clear" w:color="auto" w:fill="auto"/>
            <w:vAlign w:val="center"/>
          </w:tcPr>
          <w:p w:rsidR="00BE3E71" w:rsidRPr="00BE3E71" w:rsidRDefault="00BE3E71" w:rsidP="00BE3E71">
            <w:pPr>
              <w:autoSpaceDE w:val="0"/>
              <w:autoSpaceDN w:val="0"/>
              <w:adjustRightInd w:val="0"/>
              <w:spacing w:line="480" w:lineRule="auto"/>
              <w:jc w:val="both"/>
              <w:rPr>
                <w:rFonts w:ascii="Arial" w:eastAsia="Calibri" w:hAnsi="Arial" w:cs="Arial"/>
                <w:b/>
                <w:bCs/>
              </w:rPr>
            </w:pPr>
            <w:r w:rsidRPr="00BE3E71">
              <w:rPr>
                <w:rFonts w:ascii="Arial" w:eastAsia="Calibri" w:hAnsi="Arial" w:cs="Arial"/>
                <w:b/>
                <w:bCs/>
              </w:rPr>
              <w:t>I (intervention)</w:t>
            </w:r>
          </w:p>
        </w:tc>
        <w:tc>
          <w:tcPr>
            <w:tcW w:w="3646" w:type="dxa"/>
            <w:tcBorders>
              <w:top w:val="nil"/>
              <w:bottom w:val="nil"/>
            </w:tcBorders>
          </w:tcPr>
          <w:p w:rsidR="00BE3E71" w:rsidRPr="00BE3E71" w:rsidRDefault="00BE3E71" w:rsidP="00BE3E71">
            <w:pPr>
              <w:autoSpaceDE w:val="0"/>
              <w:autoSpaceDN w:val="0"/>
              <w:adjustRightInd w:val="0"/>
              <w:spacing w:line="480" w:lineRule="auto"/>
              <w:jc w:val="both"/>
              <w:rPr>
                <w:rFonts w:ascii="Arial" w:hAnsi="Arial" w:cs="Arial"/>
              </w:rPr>
            </w:pPr>
          </w:p>
        </w:tc>
        <w:tc>
          <w:tcPr>
            <w:tcW w:w="4219" w:type="dxa"/>
            <w:tcBorders>
              <w:top w:val="nil"/>
              <w:bottom w:val="nil"/>
            </w:tcBorders>
            <w:shd w:val="clear" w:color="auto" w:fill="auto"/>
            <w:vAlign w:val="center"/>
          </w:tcPr>
          <w:p w:rsidR="00BE3E71" w:rsidRPr="00BE3E71" w:rsidRDefault="00BE3E71" w:rsidP="00BE3E71">
            <w:pPr>
              <w:autoSpaceDE w:val="0"/>
              <w:autoSpaceDN w:val="0"/>
              <w:adjustRightInd w:val="0"/>
              <w:spacing w:line="480" w:lineRule="auto"/>
              <w:jc w:val="both"/>
              <w:rPr>
                <w:rFonts w:ascii="Arial" w:hAnsi="Arial" w:cs="Arial"/>
                <w:lang w:val="en-US"/>
              </w:rPr>
            </w:pPr>
          </w:p>
          <w:p w:rsidR="00BE3E71" w:rsidRPr="00BE3E71" w:rsidRDefault="00BE3E71" w:rsidP="00BE3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BE3E71">
              <w:rPr>
                <w:rFonts w:ascii="Arial" w:hAnsi="Arial" w:cs="Arial"/>
                <w:color w:val="212121"/>
                <w:lang w:val="en"/>
              </w:rPr>
              <w:t>They used mini-implants for upper molar intrusion</w:t>
            </w:r>
          </w:p>
          <w:p w:rsidR="00BE3E71" w:rsidRPr="00BE3E71" w:rsidRDefault="00BE3E71" w:rsidP="00BE3E71">
            <w:pPr>
              <w:autoSpaceDE w:val="0"/>
              <w:autoSpaceDN w:val="0"/>
              <w:adjustRightInd w:val="0"/>
              <w:spacing w:line="480" w:lineRule="auto"/>
              <w:jc w:val="both"/>
              <w:rPr>
                <w:rFonts w:ascii="Arial" w:eastAsia="Calibri" w:hAnsi="Arial" w:cs="Arial"/>
                <w:lang w:val="en-US"/>
              </w:rPr>
            </w:pPr>
          </w:p>
        </w:tc>
      </w:tr>
      <w:tr w:rsidR="00BE3E71" w:rsidRPr="00C62051" w:rsidTr="004426ED">
        <w:trPr>
          <w:trHeight w:val="548"/>
        </w:trPr>
        <w:tc>
          <w:tcPr>
            <w:tcW w:w="1747" w:type="dxa"/>
            <w:tcBorders>
              <w:top w:val="nil"/>
              <w:bottom w:val="nil"/>
            </w:tcBorders>
            <w:shd w:val="clear" w:color="auto" w:fill="auto"/>
            <w:vAlign w:val="center"/>
          </w:tcPr>
          <w:p w:rsidR="00BE3E71" w:rsidRPr="00BE3E71" w:rsidRDefault="00BE3E71" w:rsidP="00BE3E71">
            <w:pPr>
              <w:autoSpaceDE w:val="0"/>
              <w:autoSpaceDN w:val="0"/>
              <w:adjustRightInd w:val="0"/>
              <w:spacing w:line="480" w:lineRule="auto"/>
              <w:jc w:val="both"/>
              <w:rPr>
                <w:rFonts w:ascii="Arial" w:eastAsia="Calibri" w:hAnsi="Arial" w:cs="Arial"/>
                <w:b/>
                <w:bCs/>
              </w:rPr>
            </w:pPr>
            <w:r w:rsidRPr="00BE3E71">
              <w:rPr>
                <w:rFonts w:ascii="Arial" w:eastAsia="Calibri" w:hAnsi="Arial" w:cs="Arial"/>
                <w:b/>
                <w:bCs/>
              </w:rPr>
              <w:t>C (comparison)</w:t>
            </w:r>
          </w:p>
        </w:tc>
        <w:tc>
          <w:tcPr>
            <w:tcW w:w="3646" w:type="dxa"/>
            <w:tcBorders>
              <w:top w:val="nil"/>
              <w:bottom w:val="nil"/>
            </w:tcBorders>
          </w:tcPr>
          <w:p w:rsidR="00BE3E71" w:rsidRPr="00BE3E71" w:rsidRDefault="00BE3E71" w:rsidP="00BE3E71">
            <w:pPr>
              <w:autoSpaceDE w:val="0"/>
              <w:autoSpaceDN w:val="0"/>
              <w:adjustRightInd w:val="0"/>
              <w:spacing w:line="480" w:lineRule="auto"/>
              <w:jc w:val="both"/>
              <w:rPr>
                <w:rFonts w:ascii="Arial" w:hAnsi="Arial" w:cs="Arial"/>
              </w:rPr>
            </w:pPr>
          </w:p>
        </w:tc>
        <w:tc>
          <w:tcPr>
            <w:tcW w:w="4219" w:type="dxa"/>
            <w:tcBorders>
              <w:top w:val="nil"/>
              <w:bottom w:val="nil"/>
            </w:tcBorders>
            <w:shd w:val="clear" w:color="auto" w:fill="auto"/>
            <w:vAlign w:val="center"/>
          </w:tcPr>
          <w:p w:rsidR="00BE3E71" w:rsidRPr="00BE3E71" w:rsidRDefault="00BE3E71" w:rsidP="00BE3E71">
            <w:pPr>
              <w:autoSpaceDE w:val="0"/>
              <w:autoSpaceDN w:val="0"/>
              <w:adjustRightInd w:val="0"/>
              <w:spacing w:line="480" w:lineRule="auto"/>
              <w:jc w:val="both"/>
              <w:rPr>
                <w:rFonts w:ascii="Arial" w:hAnsi="Arial" w:cs="Arial"/>
                <w:lang w:val="en-US"/>
              </w:rPr>
            </w:pPr>
          </w:p>
          <w:p w:rsidR="00BE3E71" w:rsidRPr="00BE3E71" w:rsidRDefault="00BE3E71" w:rsidP="00BE3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BE3E71">
              <w:rPr>
                <w:rFonts w:ascii="Arial" w:hAnsi="Arial" w:cs="Arial"/>
                <w:color w:val="212121"/>
                <w:lang w:val="en"/>
              </w:rPr>
              <w:t>Individuals of the same age and gender treated with another intrusion method</w:t>
            </w:r>
          </w:p>
          <w:p w:rsidR="00BE3E71" w:rsidRPr="00BE3E71" w:rsidRDefault="00BE3E71" w:rsidP="00BE3E71">
            <w:pPr>
              <w:autoSpaceDE w:val="0"/>
              <w:autoSpaceDN w:val="0"/>
              <w:adjustRightInd w:val="0"/>
              <w:spacing w:line="480" w:lineRule="auto"/>
              <w:jc w:val="both"/>
              <w:rPr>
                <w:rFonts w:ascii="Arial" w:eastAsia="Calibri" w:hAnsi="Arial" w:cs="Arial"/>
                <w:lang w:val="en-US"/>
              </w:rPr>
            </w:pPr>
          </w:p>
        </w:tc>
      </w:tr>
      <w:tr w:rsidR="00BE3E71" w:rsidRPr="00BE3E71" w:rsidTr="004426ED">
        <w:trPr>
          <w:trHeight w:val="390"/>
        </w:trPr>
        <w:tc>
          <w:tcPr>
            <w:tcW w:w="1747" w:type="dxa"/>
            <w:tcBorders>
              <w:top w:val="nil"/>
            </w:tcBorders>
            <w:shd w:val="clear" w:color="auto" w:fill="auto"/>
            <w:vAlign w:val="center"/>
          </w:tcPr>
          <w:p w:rsidR="00BE3E71" w:rsidRPr="00BE3E71" w:rsidRDefault="00BE3E71" w:rsidP="00BE3E71">
            <w:pPr>
              <w:autoSpaceDE w:val="0"/>
              <w:autoSpaceDN w:val="0"/>
              <w:adjustRightInd w:val="0"/>
              <w:spacing w:line="480" w:lineRule="auto"/>
              <w:jc w:val="both"/>
              <w:rPr>
                <w:rFonts w:ascii="Arial" w:eastAsia="Calibri" w:hAnsi="Arial" w:cs="Arial"/>
                <w:b/>
                <w:bCs/>
              </w:rPr>
            </w:pPr>
            <w:r w:rsidRPr="00BE3E71">
              <w:rPr>
                <w:rFonts w:ascii="Arial" w:eastAsia="Calibri" w:hAnsi="Arial" w:cs="Arial"/>
                <w:b/>
                <w:bCs/>
              </w:rPr>
              <w:t>O (outcomes)</w:t>
            </w:r>
          </w:p>
        </w:tc>
        <w:tc>
          <w:tcPr>
            <w:tcW w:w="3646" w:type="dxa"/>
            <w:tcBorders>
              <w:top w:val="nil"/>
            </w:tcBorders>
          </w:tcPr>
          <w:p w:rsidR="00BE3E71" w:rsidRPr="00BE3E71" w:rsidRDefault="00BE3E71" w:rsidP="00BE3E71">
            <w:pPr>
              <w:autoSpaceDE w:val="0"/>
              <w:autoSpaceDN w:val="0"/>
              <w:adjustRightInd w:val="0"/>
              <w:spacing w:line="480" w:lineRule="auto"/>
              <w:jc w:val="both"/>
              <w:rPr>
                <w:rFonts w:ascii="Arial" w:eastAsia="Calibri" w:hAnsi="Arial" w:cs="Arial"/>
              </w:rPr>
            </w:pPr>
          </w:p>
        </w:tc>
        <w:tc>
          <w:tcPr>
            <w:tcW w:w="4219" w:type="dxa"/>
            <w:tcBorders>
              <w:top w:val="nil"/>
            </w:tcBorders>
            <w:shd w:val="clear" w:color="auto" w:fill="auto"/>
            <w:vAlign w:val="center"/>
          </w:tcPr>
          <w:p w:rsidR="00BE3E71" w:rsidRPr="00BE3E71" w:rsidRDefault="00BE3E71" w:rsidP="00BE3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rPr>
            </w:pPr>
            <w:r w:rsidRPr="00BE3E71">
              <w:rPr>
                <w:rFonts w:ascii="Arial" w:hAnsi="Arial" w:cs="Arial"/>
                <w:color w:val="212121"/>
                <w:lang w:val="en"/>
              </w:rPr>
              <w:t>Hypothesis: better effectiveness in molar intrusion with mini-implants than any other method. Null hypothesis: There is no difference between the techniques.</w:t>
            </w:r>
          </w:p>
          <w:p w:rsidR="00BE3E71" w:rsidRPr="00BE3E71" w:rsidRDefault="00BE3E71" w:rsidP="00BE3E71">
            <w:pPr>
              <w:autoSpaceDE w:val="0"/>
              <w:autoSpaceDN w:val="0"/>
              <w:adjustRightInd w:val="0"/>
              <w:spacing w:line="480" w:lineRule="auto"/>
              <w:jc w:val="both"/>
              <w:rPr>
                <w:rFonts w:ascii="Arial" w:eastAsia="Calibri" w:hAnsi="Arial" w:cs="Arial"/>
              </w:rPr>
            </w:pPr>
          </w:p>
        </w:tc>
      </w:tr>
    </w:tbl>
    <w:p w:rsidR="00BE3E71" w:rsidRDefault="00BE3E71"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p>
    <w:p w:rsidR="00BE3E71" w:rsidRDefault="00BE3E71"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p>
    <w:p w:rsidR="00731C76" w:rsidRDefault="00BE3E71"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r>
        <w:rPr>
          <w:rFonts w:ascii="Arial" w:hAnsi="Arial" w:cs="Arial"/>
          <w:color w:val="212121"/>
          <w:lang w:val="en"/>
        </w:rPr>
        <w:lastRenderedPageBreak/>
        <w:tab/>
      </w:r>
      <w:r w:rsidR="00731C76" w:rsidRPr="004A4A9E">
        <w:rPr>
          <w:rFonts w:ascii="Arial" w:hAnsi="Arial" w:cs="Arial"/>
          <w:color w:val="212121"/>
          <w:lang w:val="en"/>
        </w:rPr>
        <w:t>The initial analysis excluded articles with titles and abstracts that were not related to the issue studied and that presented at least one of the exclusion criteria. The next step was a detailed analysis of the selected articles to examine those who met all the inclusion criteria or presented exclusion criteria. When the information in the title or abstract was insufficient to decide on inclusion or exclusion</w:t>
      </w:r>
      <w:r w:rsidR="00176D09" w:rsidRPr="004A4A9E">
        <w:rPr>
          <w:rFonts w:ascii="Arial" w:hAnsi="Arial" w:cs="Arial"/>
          <w:color w:val="212121"/>
          <w:lang w:val="en"/>
        </w:rPr>
        <w:t xml:space="preserve">, the full article was read and then </w:t>
      </w:r>
      <w:r w:rsidR="00731C76" w:rsidRPr="004A4A9E">
        <w:rPr>
          <w:rFonts w:ascii="Arial" w:hAnsi="Arial" w:cs="Arial"/>
          <w:color w:val="212121"/>
          <w:lang w:val="en"/>
        </w:rPr>
        <w:t xml:space="preserve">decided </w:t>
      </w:r>
      <w:r w:rsidR="00176D09" w:rsidRPr="004A4A9E">
        <w:rPr>
          <w:rFonts w:ascii="Arial" w:hAnsi="Arial" w:cs="Arial"/>
          <w:color w:val="212121"/>
          <w:lang w:val="en"/>
        </w:rPr>
        <w:t>about its inclusion or exclusion</w:t>
      </w:r>
      <w:r w:rsidR="00731C76" w:rsidRPr="004A4A9E">
        <w:rPr>
          <w:rFonts w:ascii="Arial" w:hAnsi="Arial" w:cs="Arial"/>
          <w:color w:val="212121"/>
          <w:lang w:val="en"/>
        </w:rPr>
        <w:t xml:space="preserve">. Articles without </w:t>
      </w:r>
      <w:r w:rsidR="00176D09" w:rsidRPr="004A4A9E">
        <w:rPr>
          <w:rFonts w:ascii="Arial" w:hAnsi="Arial" w:cs="Arial"/>
          <w:color w:val="212121"/>
          <w:lang w:val="en"/>
        </w:rPr>
        <w:t>abstract</w:t>
      </w:r>
      <w:r w:rsidR="00731C76" w:rsidRPr="004A4A9E">
        <w:rPr>
          <w:rFonts w:ascii="Arial" w:hAnsi="Arial" w:cs="Arial"/>
          <w:color w:val="212121"/>
          <w:lang w:val="en"/>
        </w:rPr>
        <w:t xml:space="preserve"> have been read entirely to define </w:t>
      </w:r>
      <w:r w:rsidR="00176D09" w:rsidRPr="004A4A9E">
        <w:rPr>
          <w:rFonts w:ascii="Arial" w:hAnsi="Arial" w:cs="Arial"/>
          <w:color w:val="212121"/>
          <w:lang w:val="en"/>
        </w:rPr>
        <w:t>their</w:t>
      </w:r>
      <w:r w:rsidR="00731C76" w:rsidRPr="004A4A9E">
        <w:rPr>
          <w:rFonts w:ascii="Arial" w:hAnsi="Arial" w:cs="Arial"/>
          <w:color w:val="212121"/>
          <w:lang w:val="en"/>
        </w:rPr>
        <w:t xml:space="preserve"> eligibility.</w:t>
      </w:r>
    </w:p>
    <w:p w:rsidR="00731C76" w:rsidRPr="004A4A9E" w:rsidRDefault="00731C76"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4A4A9E">
        <w:rPr>
          <w:rFonts w:ascii="Arial" w:hAnsi="Arial" w:cs="Arial"/>
          <w:color w:val="212121"/>
          <w:lang w:val="en"/>
        </w:rPr>
        <w:tab/>
        <w:t>To assess the methodological quality and risk of bias of the included studies, the Cochrane Collaboration Tool for bias risk assessment was used, published Cochrane Handbook for Systematic Reviews of Interventions (version 5.3)</w:t>
      </w:r>
      <w:r w:rsidR="00BE3E71">
        <w:rPr>
          <w:rFonts w:ascii="Arial" w:hAnsi="Arial" w:cs="Arial"/>
          <w:color w:val="212121"/>
          <w:lang w:val="en"/>
        </w:rPr>
        <w:t>[13]</w:t>
      </w:r>
      <w:r w:rsidR="00171178" w:rsidRPr="004A4A9E">
        <w:rPr>
          <w:rFonts w:ascii="Arial" w:hAnsi="Arial" w:cs="Arial"/>
          <w:color w:val="212121"/>
          <w:lang w:val="en"/>
        </w:rPr>
        <w:t xml:space="preserve"> .</w:t>
      </w:r>
    </w:p>
    <w:p w:rsidR="00E73C58" w:rsidRPr="004A4A9E" w:rsidRDefault="00E73C58" w:rsidP="004A4A9E">
      <w:pPr>
        <w:autoSpaceDE w:val="0"/>
        <w:autoSpaceDN w:val="0"/>
        <w:adjustRightInd w:val="0"/>
        <w:spacing w:line="480" w:lineRule="auto"/>
        <w:jc w:val="both"/>
        <w:rPr>
          <w:rFonts w:ascii="Arial" w:eastAsia="Calibri" w:hAnsi="Arial" w:cs="Arial"/>
          <w:b/>
          <w:lang w:val="en-US"/>
        </w:rPr>
      </w:pPr>
    </w:p>
    <w:p w:rsidR="00E73C58" w:rsidRPr="004A4A9E" w:rsidRDefault="00E73C58" w:rsidP="004A4A9E">
      <w:pPr>
        <w:autoSpaceDE w:val="0"/>
        <w:autoSpaceDN w:val="0"/>
        <w:adjustRightInd w:val="0"/>
        <w:spacing w:line="480" w:lineRule="auto"/>
        <w:jc w:val="both"/>
        <w:rPr>
          <w:rFonts w:ascii="Arial" w:eastAsia="Calibri" w:hAnsi="Arial" w:cs="Arial"/>
          <w:b/>
          <w:lang w:val="en-US"/>
        </w:rPr>
      </w:pPr>
      <w:r w:rsidRPr="004A4A9E">
        <w:rPr>
          <w:rFonts w:ascii="Arial" w:eastAsia="Calibri" w:hAnsi="Arial" w:cs="Arial"/>
          <w:b/>
          <w:lang w:val="en-US"/>
        </w:rPr>
        <w:t>RESULTS</w:t>
      </w:r>
    </w:p>
    <w:p w:rsidR="00411146" w:rsidRDefault="00E73C58" w:rsidP="00BE3E71">
      <w:pPr>
        <w:tabs>
          <w:tab w:val="left" w:pos="709"/>
          <w:tab w:val="left" w:pos="1377"/>
        </w:tabs>
        <w:spacing w:line="480" w:lineRule="auto"/>
        <w:jc w:val="both"/>
        <w:rPr>
          <w:rFonts w:ascii="Arial" w:hAnsi="Arial" w:cs="Arial"/>
          <w:color w:val="212121"/>
          <w:lang w:val="en"/>
        </w:rPr>
      </w:pPr>
      <w:r w:rsidRPr="004A4A9E">
        <w:rPr>
          <w:rFonts w:ascii="Arial" w:eastAsia="Calibri" w:hAnsi="Arial" w:cs="Arial"/>
          <w:lang w:val="en-US"/>
        </w:rPr>
        <w:tab/>
      </w:r>
      <w:r w:rsidR="001D7C0F" w:rsidRPr="004A4A9E">
        <w:rPr>
          <w:rFonts w:ascii="Arial" w:hAnsi="Arial" w:cs="Arial"/>
          <w:color w:val="212121"/>
          <w:lang w:val="en"/>
        </w:rPr>
        <w:t>During the first step of the selection and evaluation process, 795 of the 1297 papers were eligible for research in their titles and abstracts. For the removal of the repeated articles, the result of the PubMed search database was compared with the other study participants. As a result, 21 articles were retrieved and read completely. Those who did not meet the inclusion criteria were excluded from the survey. Finally, only 6 articles were included in this systematic review (Figure 1).</w:t>
      </w:r>
    </w:p>
    <w:p w:rsidR="00BE3E71" w:rsidRPr="004A4A9E" w:rsidRDefault="00BE3E71" w:rsidP="00BE3E71">
      <w:pPr>
        <w:tabs>
          <w:tab w:val="left" w:pos="709"/>
          <w:tab w:val="left" w:pos="1377"/>
        </w:tabs>
        <w:spacing w:line="480" w:lineRule="auto"/>
        <w:jc w:val="both"/>
        <w:rPr>
          <w:rFonts w:ascii="Arial" w:hAnsi="Arial" w:cs="Arial"/>
          <w:color w:val="212121"/>
          <w:lang w:val="en"/>
        </w:rPr>
      </w:pPr>
      <w:r w:rsidRPr="00902F60">
        <w:rPr>
          <w:rFonts w:ascii="Arial" w:hAnsi="Arial" w:cs="Arial"/>
          <w:b/>
          <w:color w:val="212121"/>
          <w:lang w:val="en"/>
        </w:rPr>
        <w:t>Figure 1:</w:t>
      </w:r>
      <w:r>
        <w:rPr>
          <w:rFonts w:ascii="Arial" w:hAnsi="Arial" w:cs="Arial"/>
          <w:color w:val="212121"/>
          <w:lang w:val="en"/>
        </w:rPr>
        <w:t xml:space="preserve"> </w:t>
      </w:r>
      <w:r w:rsidR="00221EBB" w:rsidRPr="004A4A9E">
        <w:rPr>
          <w:rFonts w:ascii="Arial" w:hAnsi="Arial" w:cs="Arial"/>
          <w:color w:val="000000"/>
          <w:lang w:val="en-US"/>
        </w:rPr>
        <w:t>Flowchart: search results.</w:t>
      </w:r>
    </w:p>
    <w:p w:rsidR="00E73C58" w:rsidRDefault="001D7C0F" w:rsidP="00847EDA">
      <w:pPr>
        <w:spacing w:line="480" w:lineRule="auto"/>
        <w:ind w:firstLine="709"/>
        <w:jc w:val="both"/>
        <w:textAlignment w:val="top"/>
        <w:rPr>
          <w:rFonts w:ascii="Arial" w:hAnsi="Arial" w:cs="Arial"/>
          <w:color w:val="212121"/>
          <w:shd w:val="clear" w:color="auto" w:fill="FFFFFF"/>
          <w:lang w:val="en-US"/>
        </w:rPr>
      </w:pPr>
      <w:r w:rsidRPr="004A4A9E">
        <w:rPr>
          <w:rFonts w:ascii="Arial" w:hAnsi="Arial" w:cs="Arial"/>
          <w:color w:val="212121"/>
          <w:shd w:val="clear" w:color="auto" w:fill="FFFFFF"/>
          <w:lang w:val="en-US"/>
        </w:rPr>
        <w:t>After submission of articles</w:t>
      </w:r>
      <w:r w:rsidR="00847EDA">
        <w:rPr>
          <w:rFonts w:ascii="Arial" w:hAnsi="Arial" w:cs="Arial"/>
          <w:color w:val="212121"/>
          <w:shd w:val="clear" w:color="auto" w:fill="FFFFFF"/>
          <w:lang w:val="en-US"/>
        </w:rPr>
        <w:t>[14-19]</w:t>
      </w:r>
      <w:r w:rsidRPr="004A4A9E">
        <w:rPr>
          <w:rFonts w:ascii="Arial" w:hAnsi="Arial" w:cs="Arial"/>
          <w:color w:val="212121"/>
          <w:shd w:val="clear" w:color="auto" w:fill="FFFFFF"/>
          <w:vertAlign w:val="superscript"/>
          <w:lang w:val="en-US"/>
        </w:rPr>
        <w:t xml:space="preserve"> </w:t>
      </w:r>
      <w:r w:rsidRPr="004A4A9E">
        <w:rPr>
          <w:rFonts w:ascii="Arial" w:hAnsi="Arial" w:cs="Arial"/>
          <w:color w:val="212121"/>
          <w:shd w:val="clear" w:color="auto" w:fill="FFFFFF"/>
          <w:lang w:val="en-US"/>
        </w:rPr>
        <w:t xml:space="preserve">in the Cochrane Collaboration tool for assessing bias risk (version 5.3), published in the Cochrane Handbook for </w:t>
      </w:r>
      <w:r w:rsidRPr="004A4A9E">
        <w:rPr>
          <w:rFonts w:ascii="Arial" w:hAnsi="Arial" w:cs="Arial"/>
          <w:color w:val="212121"/>
          <w:shd w:val="clear" w:color="auto" w:fill="FFFFFF"/>
          <w:lang w:val="en-US"/>
        </w:rPr>
        <w:lastRenderedPageBreak/>
        <w:t>Systematic Reviews of Interventions, two studies were classified as low risk of bias</w:t>
      </w:r>
      <w:r w:rsidR="00847EDA">
        <w:rPr>
          <w:rFonts w:ascii="Arial" w:hAnsi="Arial" w:cs="Arial"/>
          <w:color w:val="212121"/>
          <w:shd w:val="clear" w:color="auto" w:fill="FFFFFF"/>
          <w:lang w:val="en-US"/>
        </w:rPr>
        <w:t>[14,19]</w:t>
      </w:r>
      <w:r w:rsidRPr="004A4A9E">
        <w:rPr>
          <w:rFonts w:ascii="Arial" w:hAnsi="Arial" w:cs="Arial"/>
          <w:color w:val="212121"/>
          <w:shd w:val="clear" w:color="auto" w:fill="FFFFFF"/>
          <w:lang w:val="en-US"/>
        </w:rPr>
        <w:t xml:space="preserve">, and the other four </w:t>
      </w:r>
      <w:r w:rsidR="00847EDA">
        <w:rPr>
          <w:rFonts w:ascii="Arial" w:hAnsi="Arial" w:cs="Arial"/>
          <w:color w:val="212121"/>
          <w:shd w:val="clear" w:color="auto" w:fill="FFFFFF"/>
          <w:lang w:val="en-US"/>
        </w:rPr>
        <w:t>[15-18]</w:t>
      </w:r>
      <w:r w:rsidRPr="004A4A9E">
        <w:rPr>
          <w:rFonts w:ascii="Arial" w:hAnsi="Arial" w:cs="Arial"/>
          <w:color w:val="212121"/>
          <w:shd w:val="clear" w:color="auto" w:fill="FFFFFF"/>
          <w:lang w:val="en-US"/>
        </w:rPr>
        <w:t xml:space="preserve"> as high risk of bias (Figure 2).</w:t>
      </w:r>
    </w:p>
    <w:p w:rsidR="00C62051" w:rsidRDefault="00847EDA" w:rsidP="00C62051">
      <w:pPr>
        <w:pStyle w:val="Pr-formataoHTML"/>
        <w:shd w:val="clear" w:color="auto" w:fill="FFFFFF"/>
        <w:spacing w:line="480" w:lineRule="auto"/>
        <w:ind w:left="993" w:hanging="993"/>
        <w:jc w:val="both"/>
        <w:rPr>
          <w:rFonts w:ascii="Arial" w:hAnsi="Arial" w:cs="Arial"/>
          <w:color w:val="212121"/>
          <w:sz w:val="24"/>
          <w:szCs w:val="24"/>
          <w:lang w:val="en-US"/>
        </w:rPr>
      </w:pPr>
      <w:r w:rsidRPr="00902F60">
        <w:rPr>
          <w:rFonts w:ascii="Arial" w:hAnsi="Arial" w:cs="Arial"/>
          <w:b/>
          <w:color w:val="212121"/>
          <w:sz w:val="24"/>
          <w:szCs w:val="24"/>
          <w:shd w:val="clear" w:color="auto" w:fill="FFFFFF"/>
          <w:lang w:val="en-US"/>
        </w:rPr>
        <w:t>Figure 2:</w:t>
      </w:r>
      <w:r w:rsidRPr="00902F60">
        <w:rPr>
          <w:rFonts w:ascii="Arial" w:hAnsi="Arial" w:cs="Arial"/>
          <w:b/>
          <w:color w:val="212121"/>
          <w:shd w:val="clear" w:color="auto" w:fill="FFFFFF"/>
          <w:lang w:val="en-US"/>
        </w:rPr>
        <w:t xml:space="preserve"> </w:t>
      </w:r>
      <w:r w:rsidR="00902F60" w:rsidRPr="004A4A9E">
        <w:rPr>
          <w:rFonts w:ascii="Arial" w:hAnsi="Arial" w:cs="Arial"/>
          <w:color w:val="212121"/>
          <w:sz w:val="24"/>
          <w:szCs w:val="24"/>
          <w:lang w:val="en"/>
        </w:rPr>
        <w:t>Qualitative evaluation of the selected studies. (Cochrane Collaboration Tool to Assess Bias Risk)</w:t>
      </w:r>
      <w:r w:rsidR="00C62051">
        <w:rPr>
          <w:rFonts w:ascii="Arial" w:hAnsi="Arial" w:cs="Arial"/>
          <w:color w:val="212121"/>
          <w:sz w:val="24"/>
          <w:szCs w:val="24"/>
          <w:lang w:val="en"/>
        </w:rPr>
        <w:t xml:space="preserve">. </w:t>
      </w:r>
      <w:r w:rsidR="00C62051">
        <w:rPr>
          <w:rFonts w:ascii="Arial" w:hAnsi="Arial" w:cs="Arial"/>
          <w:color w:val="212121"/>
          <w:sz w:val="24"/>
          <w:szCs w:val="24"/>
          <w:lang w:val="en"/>
        </w:rPr>
        <w:t>Yellow</w:t>
      </w:r>
      <w:r w:rsidR="00C62051">
        <w:rPr>
          <w:rFonts w:ascii="Arial" w:hAnsi="Arial" w:cs="Arial"/>
          <w:color w:val="212121"/>
          <w:sz w:val="24"/>
          <w:szCs w:val="24"/>
          <w:lang w:val="en"/>
        </w:rPr>
        <w:t xml:space="preserve"> </w:t>
      </w:r>
      <w:r w:rsidR="00C62051">
        <w:rPr>
          <w:rFonts w:ascii="Arial" w:hAnsi="Arial" w:cs="Arial"/>
          <w:color w:val="212121"/>
          <w:sz w:val="24"/>
          <w:szCs w:val="24"/>
          <w:lang w:val="en"/>
        </w:rPr>
        <w:t>(doubt); Green</w:t>
      </w:r>
      <w:r w:rsidR="00C62051">
        <w:rPr>
          <w:rFonts w:ascii="Arial" w:hAnsi="Arial" w:cs="Arial"/>
          <w:color w:val="212121"/>
          <w:sz w:val="24"/>
          <w:szCs w:val="24"/>
          <w:lang w:val="en"/>
        </w:rPr>
        <w:t xml:space="preserve"> </w:t>
      </w:r>
      <w:r w:rsidR="00C62051">
        <w:rPr>
          <w:rFonts w:ascii="Arial" w:hAnsi="Arial" w:cs="Arial"/>
          <w:color w:val="212121"/>
          <w:sz w:val="24"/>
          <w:szCs w:val="24"/>
          <w:lang w:val="en"/>
        </w:rPr>
        <w:t>(presence);</w:t>
      </w:r>
      <w:r w:rsidR="00C62051">
        <w:rPr>
          <w:rFonts w:ascii="Arial" w:hAnsi="Arial" w:cs="Arial"/>
          <w:color w:val="212121"/>
          <w:sz w:val="24"/>
          <w:szCs w:val="24"/>
          <w:lang w:val="en"/>
        </w:rPr>
        <w:t xml:space="preserve"> </w:t>
      </w:r>
      <w:bookmarkStart w:id="0" w:name="_GoBack"/>
      <w:bookmarkEnd w:id="0"/>
      <w:r w:rsidR="00C62051">
        <w:rPr>
          <w:rFonts w:ascii="Arial" w:hAnsi="Arial" w:cs="Arial"/>
          <w:color w:val="212121"/>
          <w:sz w:val="24"/>
          <w:szCs w:val="24"/>
          <w:lang w:val="en"/>
        </w:rPr>
        <w:t>Red (absence).</w:t>
      </w:r>
    </w:p>
    <w:p w:rsidR="007E12D5" w:rsidRPr="004A4A9E" w:rsidRDefault="00F36A9A" w:rsidP="00902F60">
      <w:pPr>
        <w:pStyle w:val="Corpodetexto"/>
        <w:spacing w:line="360" w:lineRule="auto"/>
        <w:rPr>
          <w:rFonts w:ascii="Arial" w:hAnsi="Arial" w:cs="Arial"/>
          <w:color w:val="212121"/>
          <w:sz w:val="24"/>
          <w:lang w:val="en-US"/>
        </w:rPr>
      </w:pPr>
      <w:r w:rsidRPr="00902F60">
        <w:rPr>
          <w:rFonts w:ascii="Arial" w:hAnsi="Arial" w:cs="Arial"/>
          <w:color w:val="212121"/>
          <w:sz w:val="24"/>
          <w:lang w:val="en-US"/>
        </w:rPr>
        <w:tab/>
      </w:r>
      <w:r w:rsidR="007E12D5" w:rsidRPr="004A4A9E">
        <w:rPr>
          <w:rFonts w:ascii="Arial" w:hAnsi="Arial" w:cs="Arial"/>
          <w:color w:val="212121"/>
          <w:sz w:val="24"/>
          <w:lang w:val="en"/>
        </w:rPr>
        <w:t>In the questions</w:t>
      </w:r>
      <w:r w:rsidR="00902F60">
        <w:rPr>
          <w:rFonts w:ascii="Arial" w:hAnsi="Arial" w:cs="Arial"/>
          <w:color w:val="212121"/>
          <w:sz w:val="24"/>
          <w:lang w:val="en"/>
        </w:rPr>
        <w:t xml:space="preserve"> </w:t>
      </w:r>
      <w:r w:rsidRPr="004A4A9E">
        <w:rPr>
          <w:rFonts w:ascii="Arial" w:hAnsi="Arial" w:cs="Arial"/>
          <w:color w:val="212121"/>
          <w:sz w:val="24"/>
          <w:lang w:val="en"/>
        </w:rPr>
        <w:t>“</w:t>
      </w:r>
      <w:r w:rsidR="007E12D5" w:rsidRPr="004A4A9E">
        <w:rPr>
          <w:rFonts w:ascii="Arial" w:hAnsi="Arial" w:cs="Arial"/>
          <w:color w:val="212121"/>
          <w:sz w:val="24"/>
          <w:lang w:val="en"/>
        </w:rPr>
        <w:t>random sequence generation</w:t>
      </w:r>
      <w:r w:rsidRPr="004A4A9E">
        <w:rPr>
          <w:rFonts w:ascii="Arial" w:hAnsi="Arial" w:cs="Arial"/>
          <w:color w:val="212121"/>
          <w:sz w:val="24"/>
          <w:lang w:val="en"/>
        </w:rPr>
        <w:t>”</w:t>
      </w:r>
      <w:r w:rsidR="007E12D5" w:rsidRPr="004A4A9E">
        <w:rPr>
          <w:rFonts w:ascii="Arial" w:hAnsi="Arial" w:cs="Arial"/>
          <w:color w:val="212121"/>
          <w:sz w:val="24"/>
          <w:lang w:val="en"/>
        </w:rPr>
        <w:t xml:space="preserve"> and </w:t>
      </w:r>
      <w:r w:rsidRPr="004A4A9E">
        <w:rPr>
          <w:rFonts w:ascii="Arial" w:hAnsi="Arial" w:cs="Arial"/>
          <w:color w:val="212121"/>
          <w:sz w:val="24"/>
          <w:lang w:val="en"/>
        </w:rPr>
        <w:t>“</w:t>
      </w:r>
      <w:r w:rsidR="007E12D5" w:rsidRPr="004A4A9E">
        <w:rPr>
          <w:rFonts w:ascii="Arial" w:hAnsi="Arial" w:cs="Arial"/>
          <w:color w:val="212121"/>
          <w:sz w:val="24"/>
          <w:lang w:val="en"/>
        </w:rPr>
        <w:t>allocation concealment</w:t>
      </w:r>
      <w:r w:rsidRPr="004A4A9E">
        <w:rPr>
          <w:rFonts w:ascii="Arial" w:hAnsi="Arial" w:cs="Arial"/>
          <w:color w:val="212121"/>
          <w:sz w:val="24"/>
          <w:lang w:val="en"/>
        </w:rPr>
        <w:t>”</w:t>
      </w:r>
      <w:r w:rsidR="007E12D5" w:rsidRPr="004A4A9E">
        <w:rPr>
          <w:rFonts w:ascii="Arial" w:hAnsi="Arial" w:cs="Arial"/>
          <w:color w:val="212121"/>
          <w:sz w:val="24"/>
          <w:lang w:val="en"/>
        </w:rPr>
        <w:t>, two of the articles</w:t>
      </w:r>
      <w:r w:rsidR="00847EDA" w:rsidRPr="00902F60">
        <w:rPr>
          <w:rFonts w:ascii="Arial" w:hAnsi="Arial" w:cs="Arial"/>
          <w:color w:val="212121"/>
          <w:sz w:val="24"/>
          <w:lang w:val="en"/>
        </w:rPr>
        <w:t>[15,16]</w:t>
      </w:r>
      <w:r w:rsidR="007E12D5" w:rsidRPr="004A4A9E">
        <w:rPr>
          <w:rFonts w:ascii="Arial" w:hAnsi="Arial" w:cs="Arial"/>
          <w:color w:val="212121"/>
          <w:sz w:val="24"/>
          <w:vertAlign w:val="superscript"/>
          <w:lang w:val="en"/>
        </w:rPr>
        <w:t xml:space="preserve"> </w:t>
      </w:r>
      <w:r w:rsidR="007E12D5" w:rsidRPr="004A4A9E">
        <w:rPr>
          <w:rFonts w:ascii="Arial" w:hAnsi="Arial" w:cs="Arial"/>
          <w:color w:val="212121"/>
          <w:sz w:val="24"/>
          <w:lang w:val="en"/>
        </w:rPr>
        <w:t>were considered as high bias because they did not use random method to select the sample or even how participants were selected for the groups to be compared. The other four articles</w:t>
      </w:r>
      <w:r w:rsidRPr="004A4A9E">
        <w:rPr>
          <w:rFonts w:ascii="Arial" w:hAnsi="Arial" w:cs="Arial"/>
          <w:color w:val="212121"/>
          <w:sz w:val="24"/>
          <w:vertAlign w:val="superscript"/>
          <w:lang w:val="en"/>
        </w:rPr>
        <w:t xml:space="preserve"> </w:t>
      </w:r>
      <w:r w:rsidR="007E12D5" w:rsidRPr="004A4A9E">
        <w:rPr>
          <w:rFonts w:ascii="Arial" w:hAnsi="Arial" w:cs="Arial"/>
          <w:color w:val="212121"/>
          <w:sz w:val="24"/>
          <w:lang w:val="en"/>
        </w:rPr>
        <w:t>were classified as risk of uncertain bias because they did not clearly describe whether some random method was used to select the sample and because they presented a single participant group.</w:t>
      </w:r>
    </w:p>
    <w:p w:rsidR="007E12D5" w:rsidRPr="004A4A9E" w:rsidRDefault="007E12D5"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4A4A9E">
        <w:rPr>
          <w:rFonts w:ascii="Arial" w:hAnsi="Arial" w:cs="Arial"/>
          <w:color w:val="212121"/>
          <w:lang w:val="en"/>
        </w:rPr>
        <w:tab/>
        <w:t xml:space="preserve">Due to the use of different devices and orthodontic treatments used, </w:t>
      </w:r>
      <w:r w:rsidR="00F36A9A" w:rsidRPr="004A4A9E">
        <w:rPr>
          <w:rFonts w:ascii="Arial" w:hAnsi="Arial" w:cs="Arial"/>
          <w:color w:val="212121"/>
          <w:lang w:val="en"/>
        </w:rPr>
        <w:t>“</w:t>
      </w:r>
      <w:r w:rsidRPr="004A4A9E">
        <w:rPr>
          <w:rFonts w:ascii="Arial" w:hAnsi="Arial" w:cs="Arial"/>
          <w:color w:val="212121"/>
          <w:lang w:val="en"/>
        </w:rPr>
        <w:t>blindness of participants and staff</w:t>
      </w:r>
      <w:r w:rsidR="00F36A9A" w:rsidRPr="004A4A9E">
        <w:rPr>
          <w:rFonts w:ascii="Arial" w:hAnsi="Arial" w:cs="Arial"/>
          <w:color w:val="212121"/>
          <w:lang w:val="en"/>
        </w:rPr>
        <w:t xml:space="preserve">” </w:t>
      </w:r>
      <w:r w:rsidRPr="004A4A9E">
        <w:rPr>
          <w:rFonts w:ascii="Arial" w:hAnsi="Arial" w:cs="Arial"/>
          <w:color w:val="212121"/>
          <w:lang w:val="en"/>
        </w:rPr>
        <w:t xml:space="preserve">was not possible in any of the studies evaluated. However, there was no high risk of bias in these criteria since knowledge of the treatment technique would not change the outcome. Low risk of bias was attributed to </w:t>
      </w:r>
      <w:r w:rsidR="00F36A9A" w:rsidRPr="004A4A9E">
        <w:rPr>
          <w:rFonts w:ascii="Arial" w:hAnsi="Arial" w:cs="Arial"/>
          <w:color w:val="212121"/>
          <w:lang w:val="en"/>
        </w:rPr>
        <w:t>“</w:t>
      </w:r>
      <w:r w:rsidRPr="004A4A9E">
        <w:rPr>
          <w:rFonts w:ascii="Arial" w:hAnsi="Arial" w:cs="Arial"/>
          <w:color w:val="212121"/>
          <w:lang w:val="en"/>
        </w:rPr>
        <w:t>blindness of outcome</w:t>
      </w:r>
      <w:r w:rsidR="00F36A9A" w:rsidRPr="004A4A9E">
        <w:rPr>
          <w:rFonts w:ascii="Arial" w:hAnsi="Arial" w:cs="Arial"/>
          <w:color w:val="212121"/>
          <w:lang w:val="en"/>
        </w:rPr>
        <w:t xml:space="preserve"> assessment”</w:t>
      </w:r>
      <w:r w:rsidRPr="004A4A9E">
        <w:rPr>
          <w:rFonts w:ascii="Arial" w:hAnsi="Arial" w:cs="Arial"/>
          <w:color w:val="212121"/>
          <w:lang w:val="en"/>
        </w:rPr>
        <w:t xml:space="preserve"> in all studies.</w:t>
      </w:r>
    </w:p>
    <w:p w:rsidR="00F36A9A" w:rsidRPr="004A4A9E" w:rsidRDefault="00F36A9A"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4A4A9E">
        <w:rPr>
          <w:rFonts w:ascii="Arial" w:hAnsi="Arial" w:cs="Arial"/>
          <w:color w:val="212121"/>
          <w:lang w:val="en"/>
        </w:rPr>
        <w:tab/>
        <w:t>With regard to “incomplete outcomes data”, two papers presented a high risk of bias. In the first</w:t>
      </w:r>
      <w:r w:rsidR="00221EBB">
        <w:rPr>
          <w:rFonts w:ascii="Arial" w:hAnsi="Arial" w:cs="Arial"/>
          <w:color w:val="212121"/>
          <w:lang w:val="en"/>
        </w:rPr>
        <w:t>[17]</w:t>
      </w:r>
      <w:r w:rsidRPr="004A4A9E">
        <w:rPr>
          <w:rFonts w:ascii="Arial" w:hAnsi="Arial" w:cs="Arial"/>
          <w:color w:val="212121"/>
          <w:lang w:val="en"/>
        </w:rPr>
        <w:t>, the authors reported that one of the participants lost the mini-implant and in the second</w:t>
      </w:r>
      <w:r w:rsidR="00221EBB">
        <w:rPr>
          <w:rFonts w:ascii="Arial" w:hAnsi="Arial" w:cs="Arial"/>
          <w:color w:val="212121"/>
          <w:lang w:val="en"/>
        </w:rPr>
        <w:t>[18]</w:t>
      </w:r>
      <w:r w:rsidRPr="004A4A9E">
        <w:rPr>
          <w:rFonts w:ascii="Arial" w:hAnsi="Arial" w:cs="Arial"/>
          <w:color w:val="212121"/>
          <w:lang w:val="en"/>
        </w:rPr>
        <w:t xml:space="preserve"> </w:t>
      </w:r>
      <w:r w:rsidR="00221EBB">
        <w:rPr>
          <w:rFonts w:ascii="Arial" w:hAnsi="Arial" w:cs="Arial"/>
          <w:color w:val="212121"/>
          <w:lang w:val="en"/>
        </w:rPr>
        <w:t xml:space="preserve"> three</w:t>
      </w:r>
      <w:r w:rsidRPr="004A4A9E">
        <w:rPr>
          <w:rFonts w:ascii="Arial" w:hAnsi="Arial" w:cs="Arial"/>
          <w:color w:val="212121"/>
          <w:lang w:val="en"/>
        </w:rPr>
        <w:t xml:space="preserve"> participants abandoned the study, being classified with high risk of bias. The other articles</w:t>
      </w:r>
      <w:r w:rsidR="00221EBB">
        <w:rPr>
          <w:rFonts w:ascii="Arial" w:hAnsi="Arial" w:cs="Arial"/>
          <w:color w:val="212121"/>
          <w:lang w:val="en"/>
        </w:rPr>
        <w:t>[14-16,19]</w:t>
      </w:r>
      <w:r w:rsidRPr="004A4A9E">
        <w:rPr>
          <w:rFonts w:ascii="Arial" w:hAnsi="Arial" w:cs="Arial"/>
          <w:color w:val="212121"/>
          <w:vertAlign w:val="superscript"/>
          <w:lang w:val="en"/>
        </w:rPr>
        <w:t xml:space="preserve"> </w:t>
      </w:r>
      <w:r w:rsidRPr="004A4A9E">
        <w:rPr>
          <w:rFonts w:ascii="Arial" w:hAnsi="Arial" w:cs="Arial"/>
          <w:color w:val="212121"/>
          <w:lang w:val="en"/>
        </w:rPr>
        <w:t>were classified as low risk of bias. Regarding the items “selective reporting” and “other bias”, all articles were considered low risk.</w:t>
      </w:r>
    </w:p>
    <w:p w:rsidR="00653022" w:rsidRDefault="00653022"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r w:rsidRPr="004A4A9E">
        <w:rPr>
          <w:rFonts w:ascii="Arial" w:hAnsi="Arial" w:cs="Arial"/>
          <w:color w:val="212121"/>
          <w:lang w:val="en"/>
        </w:rPr>
        <w:tab/>
        <w:t xml:space="preserve">Table 3 shows the data extracted from the articles: author, year, age, sample size and characteristics, treatment performed, results and p value. The number of participants in the studies ranged from 9 to 31. All the studies used the mini-implant as an anchorage for intrusion, being analyzed by cephalometric </w:t>
      </w:r>
      <w:r w:rsidRPr="004A4A9E">
        <w:rPr>
          <w:rFonts w:ascii="Arial" w:hAnsi="Arial" w:cs="Arial"/>
          <w:color w:val="212121"/>
          <w:lang w:val="en"/>
        </w:rPr>
        <w:lastRenderedPageBreak/>
        <w:t>radiographs, but only two</w:t>
      </w:r>
      <w:r w:rsidR="00221EBB">
        <w:rPr>
          <w:rFonts w:ascii="Arial" w:hAnsi="Arial" w:cs="Arial"/>
          <w:color w:val="212121"/>
          <w:lang w:val="en"/>
        </w:rPr>
        <w:t>[15,16]</w:t>
      </w:r>
      <w:r w:rsidRPr="004A4A9E">
        <w:rPr>
          <w:rFonts w:ascii="Arial" w:hAnsi="Arial" w:cs="Arial"/>
          <w:color w:val="212121"/>
          <w:lang w:val="en"/>
        </w:rPr>
        <w:t xml:space="preserve"> compared or associated with another technique. In this systematic review, Deguchi et al.</w:t>
      </w:r>
      <w:r w:rsidR="00221EBB">
        <w:rPr>
          <w:rFonts w:ascii="Arial" w:hAnsi="Arial" w:cs="Arial"/>
          <w:color w:val="212121"/>
          <w:lang w:val="en"/>
        </w:rPr>
        <w:t>[15]</w:t>
      </w:r>
      <w:r w:rsidRPr="004A4A9E">
        <w:rPr>
          <w:rFonts w:ascii="Arial" w:hAnsi="Arial" w:cs="Arial"/>
          <w:color w:val="212121"/>
          <w:lang w:val="en"/>
        </w:rPr>
        <w:t xml:space="preserve"> and Lee et al.</w:t>
      </w:r>
      <w:r w:rsidR="00221EBB">
        <w:rPr>
          <w:rFonts w:ascii="Arial" w:hAnsi="Arial" w:cs="Arial"/>
          <w:color w:val="212121"/>
          <w:lang w:val="en"/>
        </w:rPr>
        <w:t>[16]</w:t>
      </w:r>
      <w:r w:rsidRPr="004A4A9E">
        <w:rPr>
          <w:rFonts w:ascii="Arial" w:hAnsi="Arial" w:cs="Arial"/>
          <w:color w:val="212121"/>
          <w:lang w:val="en"/>
        </w:rPr>
        <w:t xml:space="preserve"> concluded that upper molar intrusion was more efficient in patients using mini-implants than in patients who used another method. The studies by Baek et al.</w:t>
      </w:r>
      <w:r w:rsidR="00221EBB">
        <w:rPr>
          <w:rFonts w:ascii="Arial" w:hAnsi="Arial" w:cs="Arial"/>
          <w:color w:val="212121"/>
          <w:lang w:val="en"/>
        </w:rPr>
        <w:t>[14]</w:t>
      </w:r>
      <w:r w:rsidRPr="004A4A9E">
        <w:rPr>
          <w:rFonts w:ascii="Arial" w:hAnsi="Arial" w:cs="Arial"/>
          <w:color w:val="212121"/>
          <w:lang w:val="en"/>
        </w:rPr>
        <w:t xml:space="preserve"> and Scheffler et al.</w:t>
      </w:r>
      <w:r w:rsidR="00221EBB">
        <w:rPr>
          <w:rFonts w:ascii="Arial" w:hAnsi="Arial" w:cs="Arial"/>
          <w:color w:val="212121"/>
          <w:lang w:val="en"/>
        </w:rPr>
        <w:t>[18]</w:t>
      </w:r>
      <w:r w:rsidRPr="004A4A9E">
        <w:rPr>
          <w:rFonts w:ascii="Arial" w:hAnsi="Arial" w:cs="Arial"/>
          <w:color w:val="212121"/>
          <w:lang w:val="en"/>
        </w:rPr>
        <w:t xml:space="preserve"> concluded that the amount of intrusion of the super-posterior teeth was greater than the relapse observed 3 and 2 years after treatment, respectively.</w:t>
      </w:r>
    </w:p>
    <w:p w:rsidR="00221EBB" w:rsidRPr="00221EBB" w:rsidRDefault="00221EBB" w:rsidP="00221EBB">
      <w:pPr>
        <w:spacing w:after="15" w:line="480" w:lineRule="auto"/>
        <w:jc w:val="both"/>
        <w:textAlignment w:val="top"/>
        <w:rPr>
          <w:rFonts w:ascii="Arial" w:hAnsi="Arial" w:cs="Arial"/>
          <w:color w:val="000000"/>
        </w:rPr>
      </w:pPr>
      <w:r w:rsidRPr="00221EBB">
        <w:rPr>
          <w:rFonts w:ascii="Arial" w:eastAsia="Calibri" w:hAnsi="Arial" w:cs="Arial"/>
          <w:b/>
        </w:rPr>
        <w:t xml:space="preserve">Table 3 – </w:t>
      </w:r>
      <w:r w:rsidRPr="00221EBB">
        <w:rPr>
          <w:rFonts w:ascii="Arial" w:eastAsia="Calibri" w:hAnsi="Arial" w:cs="Arial"/>
        </w:rPr>
        <w:t>Description of included studies</w:t>
      </w:r>
    </w:p>
    <w:tbl>
      <w:tblPr>
        <w:tblW w:w="0" w:type="auto"/>
        <w:tblLook w:val="04A0" w:firstRow="1" w:lastRow="0" w:firstColumn="1" w:lastColumn="0" w:noHBand="0" w:noVBand="1"/>
      </w:tblPr>
      <w:tblGrid>
        <w:gridCol w:w="998"/>
        <w:gridCol w:w="1247"/>
        <w:gridCol w:w="1307"/>
        <w:gridCol w:w="1517"/>
        <w:gridCol w:w="1543"/>
        <w:gridCol w:w="1120"/>
        <w:gridCol w:w="772"/>
      </w:tblGrid>
      <w:tr w:rsidR="00221EBB" w:rsidRPr="00931FED" w:rsidTr="004426ED">
        <w:tc>
          <w:tcPr>
            <w:tcW w:w="1106" w:type="dxa"/>
            <w:tcBorders>
              <w:top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sz w:val="18"/>
                <w:szCs w:val="18"/>
              </w:rPr>
              <w:t>Author</w:t>
            </w:r>
          </w:p>
        </w:tc>
        <w:tc>
          <w:tcPr>
            <w:tcW w:w="2190" w:type="dxa"/>
            <w:gridSpan w:val="2"/>
            <w:tcBorders>
              <w:top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sz w:val="18"/>
                <w:szCs w:val="18"/>
              </w:rPr>
              <w:t>Participants</w:t>
            </w:r>
          </w:p>
        </w:tc>
        <w:tc>
          <w:tcPr>
            <w:tcW w:w="1357" w:type="dxa"/>
            <w:tcBorders>
              <w:top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sz w:val="18"/>
                <w:szCs w:val="18"/>
              </w:rPr>
              <w:t>Characteristics of the sample</w:t>
            </w:r>
          </w:p>
        </w:tc>
        <w:tc>
          <w:tcPr>
            <w:tcW w:w="1602" w:type="dxa"/>
            <w:tcBorders>
              <w:top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sz w:val="18"/>
                <w:szCs w:val="18"/>
              </w:rPr>
              <w:t>Intervention</w:t>
            </w:r>
          </w:p>
        </w:tc>
        <w:tc>
          <w:tcPr>
            <w:tcW w:w="1559" w:type="dxa"/>
            <w:tcBorders>
              <w:top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sz w:val="18"/>
                <w:szCs w:val="18"/>
              </w:rPr>
              <w:t>Results</w:t>
            </w:r>
          </w:p>
        </w:tc>
        <w:tc>
          <w:tcPr>
            <w:tcW w:w="690" w:type="dxa"/>
            <w:tcBorders>
              <w:top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i/>
                <w:sz w:val="18"/>
                <w:szCs w:val="18"/>
              </w:rPr>
              <w:t>p-value</w:t>
            </w:r>
          </w:p>
        </w:tc>
      </w:tr>
      <w:tr w:rsidR="00221EBB" w:rsidRPr="00931FED" w:rsidTr="004426ED">
        <w:trPr>
          <w:trHeight w:val="339"/>
        </w:trPr>
        <w:tc>
          <w:tcPr>
            <w:tcW w:w="1106" w:type="dxa"/>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p>
        </w:tc>
        <w:tc>
          <w:tcPr>
            <w:tcW w:w="1107" w:type="dxa"/>
            <w:shd w:val="clear" w:color="auto" w:fill="auto"/>
            <w:vAlign w:val="center"/>
          </w:tcPr>
          <w:p w:rsidR="00221EBB" w:rsidRPr="00931FED" w:rsidRDefault="00221EBB" w:rsidP="00221EBB">
            <w:pPr>
              <w:pStyle w:val="Corpodetexto"/>
              <w:spacing w:line="480" w:lineRule="auto"/>
              <w:jc w:val="center"/>
              <w:rPr>
                <w:rFonts w:ascii="Arial" w:hAnsi="Arial" w:cs="Arial"/>
                <w:b/>
                <w:sz w:val="18"/>
                <w:szCs w:val="18"/>
              </w:rPr>
            </w:pPr>
            <w:r w:rsidRPr="00931FED">
              <w:rPr>
                <w:rFonts w:ascii="Arial" w:hAnsi="Arial" w:cs="Arial"/>
                <w:b/>
                <w:sz w:val="18"/>
                <w:szCs w:val="18"/>
              </w:rPr>
              <w:t>Total</w:t>
            </w:r>
          </w:p>
        </w:tc>
        <w:tc>
          <w:tcPr>
            <w:tcW w:w="1083" w:type="dxa"/>
            <w:shd w:val="clear" w:color="auto" w:fill="auto"/>
            <w:vAlign w:val="center"/>
          </w:tcPr>
          <w:p w:rsidR="00221EBB" w:rsidRPr="00931FED" w:rsidRDefault="00221EBB" w:rsidP="00221EBB">
            <w:pPr>
              <w:pStyle w:val="Corpodetexto"/>
              <w:spacing w:line="480" w:lineRule="auto"/>
              <w:jc w:val="center"/>
              <w:rPr>
                <w:rFonts w:ascii="Arial" w:hAnsi="Arial" w:cs="Arial"/>
                <w:b/>
                <w:sz w:val="18"/>
                <w:szCs w:val="18"/>
              </w:rPr>
            </w:pPr>
            <w:r w:rsidRPr="00931FED">
              <w:rPr>
                <w:rFonts w:ascii="Arial" w:hAnsi="Arial" w:cs="Arial"/>
                <w:b/>
                <w:sz w:val="18"/>
                <w:szCs w:val="18"/>
              </w:rPr>
              <w:t>Age</w:t>
            </w:r>
          </w:p>
        </w:tc>
        <w:tc>
          <w:tcPr>
            <w:tcW w:w="1357" w:type="dxa"/>
            <w:shd w:val="clear" w:color="auto" w:fill="auto"/>
            <w:vAlign w:val="center"/>
          </w:tcPr>
          <w:p w:rsidR="00221EBB" w:rsidRPr="00931FED" w:rsidRDefault="00221EBB" w:rsidP="00221EBB">
            <w:pPr>
              <w:pStyle w:val="Corpodetexto"/>
              <w:spacing w:line="480" w:lineRule="auto"/>
              <w:jc w:val="center"/>
              <w:rPr>
                <w:rFonts w:ascii="Arial" w:hAnsi="Arial" w:cs="Arial"/>
                <w:b/>
                <w:sz w:val="18"/>
                <w:szCs w:val="18"/>
              </w:rPr>
            </w:pPr>
          </w:p>
        </w:tc>
        <w:tc>
          <w:tcPr>
            <w:tcW w:w="1602" w:type="dxa"/>
            <w:shd w:val="clear" w:color="auto" w:fill="auto"/>
            <w:vAlign w:val="center"/>
          </w:tcPr>
          <w:p w:rsidR="00221EBB" w:rsidRPr="00931FED" w:rsidRDefault="00221EBB" w:rsidP="00221EBB">
            <w:pPr>
              <w:pStyle w:val="Corpodetexto"/>
              <w:spacing w:line="480" w:lineRule="auto"/>
              <w:jc w:val="center"/>
              <w:rPr>
                <w:rFonts w:ascii="Arial" w:hAnsi="Arial" w:cs="Arial"/>
                <w:b/>
                <w:sz w:val="18"/>
                <w:szCs w:val="18"/>
              </w:rPr>
            </w:pPr>
            <w:r w:rsidRPr="00931FED">
              <w:rPr>
                <w:rFonts w:ascii="Arial" w:hAnsi="Arial" w:cs="Arial"/>
                <w:b/>
                <w:sz w:val="18"/>
                <w:szCs w:val="18"/>
              </w:rPr>
              <w:t>Type of  treatment</w:t>
            </w:r>
          </w:p>
        </w:tc>
        <w:tc>
          <w:tcPr>
            <w:tcW w:w="1559" w:type="dxa"/>
            <w:shd w:val="clear" w:color="auto" w:fill="auto"/>
            <w:vAlign w:val="center"/>
          </w:tcPr>
          <w:p w:rsidR="00221EBB" w:rsidRPr="00931FED" w:rsidRDefault="00221EBB" w:rsidP="00221EBB">
            <w:pPr>
              <w:pStyle w:val="Corpodetexto"/>
              <w:spacing w:line="480" w:lineRule="auto"/>
              <w:jc w:val="center"/>
              <w:rPr>
                <w:rFonts w:ascii="Arial" w:hAnsi="Arial" w:cs="Arial"/>
                <w:b/>
                <w:sz w:val="18"/>
                <w:szCs w:val="18"/>
              </w:rPr>
            </w:pPr>
          </w:p>
        </w:tc>
        <w:tc>
          <w:tcPr>
            <w:tcW w:w="690" w:type="dxa"/>
            <w:shd w:val="clear" w:color="auto" w:fill="auto"/>
            <w:vAlign w:val="center"/>
          </w:tcPr>
          <w:p w:rsidR="00221EBB" w:rsidRPr="00931FED" w:rsidRDefault="00221EBB" w:rsidP="00221EBB">
            <w:pPr>
              <w:pStyle w:val="Corpodetexto"/>
              <w:spacing w:line="480" w:lineRule="auto"/>
              <w:jc w:val="center"/>
              <w:rPr>
                <w:rFonts w:ascii="Arial" w:hAnsi="Arial" w:cs="Arial"/>
                <w:b/>
                <w:sz w:val="18"/>
                <w:szCs w:val="18"/>
              </w:rPr>
            </w:pPr>
          </w:p>
        </w:tc>
      </w:tr>
      <w:tr w:rsidR="00221EBB" w:rsidRPr="00931FED" w:rsidTr="004426ED">
        <w:tc>
          <w:tcPr>
            <w:tcW w:w="1106" w:type="dxa"/>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sz w:val="18"/>
                <w:szCs w:val="18"/>
              </w:rPr>
              <w:t>Baek et al</w:t>
            </w:r>
            <w:r w:rsidRPr="00931FED">
              <w:rPr>
                <w:rFonts w:ascii="Arial" w:hAnsi="Arial" w:cs="Arial"/>
                <w:b/>
                <w:bCs/>
                <w:sz w:val="18"/>
                <w:szCs w:val="18"/>
                <w:vertAlign w:val="superscript"/>
              </w:rPr>
              <w:t>14</w:t>
            </w:r>
            <w:r w:rsidRPr="00931FED">
              <w:rPr>
                <w:rFonts w:ascii="Arial" w:hAnsi="Arial" w:cs="Arial"/>
                <w:b/>
                <w:bCs/>
                <w:sz w:val="18"/>
                <w:szCs w:val="18"/>
              </w:rPr>
              <w:t xml:space="preserve"> (2010)</w:t>
            </w:r>
          </w:p>
        </w:tc>
        <w:tc>
          <w:tcPr>
            <w:tcW w:w="1107"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9 (8F/1M)</w:t>
            </w:r>
          </w:p>
        </w:tc>
        <w:tc>
          <w:tcPr>
            <w:tcW w:w="1083"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23.7(between 18.3 and 31.1)</w:t>
            </w:r>
          </w:p>
        </w:tc>
        <w:tc>
          <w:tcPr>
            <w:tcW w:w="1357" w:type="dxa"/>
            <w:shd w:val="clear" w:color="auto" w:fill="auto"/>
            <w:vAlign w:val="center"/>
          </w:tcPr>
          <w:p w:rsidR="00221EBB" w:rsidRPr="00931FED" w:rsidRDefault="00221EBB" w:rsidP="00221EBB">
            <w:pPr>
              <w:spacing w:line="480" w:lineRule="auto"/>
              <w:jc w:val="center"/>
              <w:rPr>
                <w:rFonts w:ascii="Arial" w:hAnsi="Arial" w:cs="Arial"/>
                <w:sz w:val="18"/>
                <w:szCs w:val="18"/>
                <w:lang w:val="en-US"/>
              </w:rPr>
            </w:pPr>
            <w:r w:rsidRPr="00931FED">
              <w:rPr>
                <w:rFonts w:ascii="Arial" w:hAnsi="Arial" w:cs="Arial"/>
                <w:sz w:val="18"/>
                <w:szCs w:val="18"/>
                <w:lang w:val="en-US"/>
              </w:rPr>
              <w:t>MAA average</w:t>
            </w:r>
          </w:p>
          <w:p w:rsidR="00221EBB" w:rsidRPr="00931FED" w:rsidRDefault="00221EBB" w:rsidP="00221EBB">
            <w:pPr>
              <w:spacing w:line="480" w:lineRule="auto"/>
              <w:jc w:val="center"/>
              <w:rPr>
                <w:rFonts w:ascii="Arial" w:hAnsi="Arial" w:cs="Arial"/>
                <w:sz w:val="18"/>
                <w:szCs w:val="18"/>
                <w:lang w:val="en-US"/>
              </w:rPr>
            </w:pPr>
            <w:r w:rsidRPr="00931FED">
              <w:rPr>
                <w:rFonts w:ascii="Arial" w:hAnsi="Arial" w:cs="Arial"/>
                <w:sz w:val="18"/>
                <w:szCs w:val="18"/>
                <w:lang w:val="en-US"/>
              </w:rPr>
              <w:t>&gt;3.91</w:t>
            </w:r>
          </w:p>
          <w:p w:rsidR="00221EBB" w:rsidRPr="00931FED" w:rsidRDefault="00221EBB" w:rsidP="00221EBB">
            <w:pPr>
              <w:spacing w:line="480" w:lineRule="auto"/>
              <w:jc w:val="center"/>
              <w:rPr>
                <w:rFonts w:ascii="Arial" w:hAnsi="Arial" w:cs="Arial"/>
                <w:sz w:val="18"/>
                <w:szCs w:val="18"/>
                <w:lang w:val="en-US"/>
              </w:rPr>
            </w:pPr>
            <w:r w:rsidRPr="00931FED">
              <w:rPr>
                <w:rFonts w:ascii="Arial" w:hAnsi="Arial" w:cs="Arial"/>
                <w:sz w:val="18"/>
                <w:szCs w:val="18"/>
                <w:lang w:val="en-US"/>
              </w:rPr>
              <w:t>High mandibular plane SN-MP&gt;40</w:t>
            </w:r>
          </w:p>
        </w:tc>
        <w:tc>
          <w:tcPr>
            <w:tcW w:w="1602" w:type="dxa"/>
            <w:shd w:val="clear" w:color="auto" w:fill="auto"/>
            <w:vAlign w:val="center"/>
          </w:tcPr>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US"/>
              </w:rPr>
            </w:pPr>
            <w:r w:rsidRPr="00931FED">
              <w:rPr>
                <w:rFonts w:ascii="Arial" w:hAnsi="Arial" w:cs="Arial"/>
                <w:color w:val="212121"/>
                <w:sz w:val="18"/>
                <w:szCs w:val="18"/>
                <w:lang w:val="en"/>
              </w:rPr>
              <w:t>2 mini-implants between the 10s and 20s molars (1 on each side) in the buccal ridge for 5.4 ± 2.4 months and contention 41 ± 5 months)</w:t>
            </w:r>
          </w:p>
          <w:p w:rsidR="00221EBB" w:rsidRPr="00931FED" w:rsidRDefault="00221EBB" w:rsidP="00221EBB">
            <w:pPr>
              <w:spacing w:line="480" w:lineRule="auto"/>
              <w:jc w:val="center"/>
              <w:rPr>
                <w:rFonts w:ascii="Arial" w:hAnsi="Arial" w:cs="Arial"/>
                <w:sz w:val="18"/>
                <w:szCs w:val="18"/>
                <w:lang w:val="en-US"/>
              </w:rPr>
            </w:pPr>
          </w:p>
        </w:tc>
        <w:tc>
          <w:tcPr>
            <w:tcW w:w="1559" w:type="dxa"/>
            <w:shd w:val="clear" w:color="auto" w:fill="auto"/>
            <w:vAlign w:val="center"/>
          </w:tcPr>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US"/>
              </w:rPr>
            </w:pPr>
            <w:r w:rsidRPr="00931FED">
              <w:rPr>
                <w:rFonts w:ascii="Arial" w:hAnsi="Arial" w:cs="Arial"/>
                <w:color w:val="212121"/>
                <w:sz w:val="18"/>
                <w:szCs w:val="18"/>
                <w:lang w:val="en"/>
              </w:rPr>
              <w:t xml:space="preserve">Intrusion of the maxillary molars 2.39mm in average compared to the palatal plane with an average overbite of 1.65mm. There was an average recurrence of molar intrusion of 0.41 mm and </w:t>
            </w:r>
            <w:r w:rsidRPr="00931FED">
              <w:rPr>
                <w:rFonts w:ascii="Arial" w:hAnsi="Arial" w:cs="Arial"/>
                <w:color w:val="212121"/>
                <w:sz w:val="18"/>
                <w:szCs w:val="18"/>
                <w:lang w:val="en"/>
              </w:rPr>
              <w:lastRenderedPageBreak/>
              <w:t>overbite of 1.2 mm after 3 years of treatment</w:t>
            </w:r>
          </w:p>
          <w:p w:rsidR="00221EBB" w:rsidRPr="00931FED" w:rsidRDefault="00221EBB" w:rsidP="00221EBB">
            <w:pPr>
              <w:spacing w:line="480" w:lineRule="auto"/>
              <w:jc w:val="center"/>
              <w:rPr>
                <w:rFonts w:ascii="Arial" w:hAnsi="Arial" w:cs="Arial"/>
                <w:sz w:val="18"/>
                <w:szCs w:val="18"/>
                <w:lang w:val="en-US"/>
              </w:rPr>
            </w:pPr>
          </w:p>
        </w:tc>
        <w:tc>
          <w:tcPr>
            <w:tcW w:w="690" w:type="dxa"/>
            <w:shd w:val="clear" w:color="auto" w:fill="auto"/>
            <w:vAlign w:val="center"/>
          </w:tcPr>
          <w:p w:rsidR="00221EBB" w:rsidRPr="00931FED" w:rsidRDefault="00221EBB" w:rsidP="00221EBB">
            <w:pPr>
              <w:spacing w:line="480" w:lineRule="auto"/>
              <w:jc w:val="center"/>
              <w:rPr>
                <w:rFonts w:ascii="Arial" w:hAnsi="Arial" w:cs="Arial"/>
                <w:sz w:val="18"/>
                <w:szCs w:val="18"/>
              </w:rPr>
            </w:pPr>
            <w:r w:rsidRPr="00931FED">
              <w:rPr>
                <w:rFonts w:ascii="Arial" w:hAnsi="Arial" w:cs="Arial"/>
                <w:sz w:val="18"/>
                <w:szCs w:val="18"/>
              </w:rPr>
              <w:lastRenderedPageBreak/>
              <w:t>&lt;0.05</w:t>
            </w:r>
          </w:p>
        </w:tc>
      </w:tr>
      <w:tr w:rsidR="00221EBB" w:rsidRPr="00931FED" w:rsidTr="004426ED">
        <w:trPr>
          <w:trHeight w:val="2117"/>
        </w:trPr>
        <w:tc>
          <w:tcPr>
            <w:tcW w:w="1106" w:type="dxa"/>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sz w:val="18"/>
                <w:szCs w:val="18"/>
              </w:rPr>
              <w:t>Deguchi et al</w:t>
            </w:r>
            <w:r w:rsidRPr="00931FED">
              <w:rPr>
                <w:rFonts w:ascii="Arial" w:hAnsi="Arial" w:cs="Arial"/>
                <w:b/>
                <w:bCs/>
                <w:sz w:val="18"/>
                <w:szCs w:val="18"/>
                <w:vertAlign w:val="superscript"/>
              </w:rPr>
              <w:t>15</w:t>
            </w:r>
            <w:r w:rsidRPr="00931FED">
              <w:rPr>
                <w:rFonts w:ascii="Arial" w:hAnsi="Arial" w:cs="Arial"/>
                <w:b/>
                <w:bCs/>
                <w:sz w:val="18"/>
                <w:szCs w:val="18"/>
              </w:rPr>
              <w:t xml:space="preserve"> (2011)</w:t>
            </w:r>
          </w:p>
        </w:tc>
        <w:tc>
          <w:tcPr>
            <w:tcW w:w="1107"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15 (F)</w:t>
            </w: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15 (F)</w:t>
            </w:r>
          </w:p>
        </w:tc>
        <w:tc>
          <w:tcPr>
            <w:tcW w:w="1083"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22.9± 4.9</w:t>
            </w: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25.7± 6.4</w:t>
            </w:r>
          </w:p>
        </w:tc>
        <w:tc>
          <w:tcPr>
            <w:tcW w:w="1357" w:type="dxa"/>
            <w:shd w:val="clear" w:color="auto" w:fill="auto"/>
            <w:vAlign w:val="center"/>
          </w:tcPr>
          <w:p w:rsidR="00221EBB" w:rsidRPr="00931FED" w:rsidRDefault="00221EBB" w:rsidP="00221EBB">
            <w:pPr>
              <w:spacing w:line="480" w:lineRule="auto"/>
              <w:jc w:val="center"/>
              <w:rPr>
                <w:rFonts w:ascii="Arial" w:hAnsi="Arial" w:cs="Arial"/>
                <w:sz w:val="18"/>
                <w:szCs w:val="18"/>
              </w:rPr>
            </w:pPr>
            <w:r w:rsidRPr="00931FED">
              <w:rPr>
                <w:rFonts w:ascii="Arial" w:hAnsi="Arial" w:cs="Arial"/>
                <w:sz w:val="18"/>
                <w:szCs w:val="18"/>
              </w:rPr>
              <w:t>MAA 4.6mm±1.5</w:t>
            </w:r>
          </w:p>
          <w:p w:rsidR="00221EBB" w:rsidRPr="00931FED" w:rsidRDefault="00221EBB" w:rsidP="00221EBB">
            <w:pPr>
              <w:spacing w:line="480" w:lineRule="auto"/>
              <w:jc w:val="center"/>
              <w:rPr>
                <w:rFonts w:ascii="Arial" w:hAnsi="Arial" w:cs="Arial"/>
                <w:sz w:val="18"/>
                <w:szCs w:val="18"/>
              </w:rPr>
            </w:pPr>
          </w:p>
          <w:p w:rsidR="00221EBB" w:rsidRPr="00931FED" w:rsidRDefault="00221EBB" w:rsidP="00221EBB">
            <w:pPr>
              <w:spacing w:line="480" w:lineRule="auto"/>
              <w:jc w:val="center"/>
              <w:rPr>
                <w:rFonts w:ascii="Arial" w:hAnsi="Arial" w:cs="Arial"/>
                <w:sz w:val="18"/>
                <w:szCs w:val="18"/>
              </w:rPr>
            </w:pPr>
          </w:p>
          <w:p w:rsidR="00221EBB" w:rsidRPr="00931FED" w:rsidRDefault="00221EBB" w:rsidP="00221EBB">
            <w:pPr>
              <w:spacing w:line="480" w:lineRule="auto"/>
              <w:jc w:val="center"/>
              <w:rPr>
                <w:rFonts w:ascii="Arial" w:hAnsi="Arial" w:cs="Arial"/>
                <w:sz w:val="18"/>
                <w:szCs w:val="18"/>
              </w:rPr>
            </w:pPr>
          </w:p>
          <w:p w:rsidR="00221EBB" w:rsidRPr="00931FED" w:rsidRDefault="00221EBB" w:rsidP="00221EBB">
            <w:pPr>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MAA 4.4mm±1.2</w:t>
            </w:r>
          </w:p>
        </w:tc>
        <w:tc>
          <w:tcPr>
            <w:tcW w:w="1602" w:type="dxa"/>
            <w:shd w:val="clear" w:color="auto" w:fill="auto"/>
            <w:vAlign w:val="center"/>
          </w:tcPr>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US"/>
              </w:rPr>
            </w:pPr>
            <w:r w:rsidRPr="00931FED">
              <w:rPr>
                <w:rFonts w:ascii="Arial" w:hAnsi="Arial" w:cs="Arial"/>
                <w:color w:val="212121"/>
                <w:sz w:val="18"/>
                <w:szCs w:val="18"/>
                <w:lang w:val="en"/>
              </w:rPr>
              <w:t>Extraoral High pull, extruded incisors and intermaxillary elastic</w:t>
            </w:r>
          </w:p>
          <w:p w:rsidR="00221EBB" w:rsidRPr="00931FED" w:rsidRDefault="00221EBB" w:rsidP="00221EBB">
            <w:pPr>
              <w:spacing w:line="480" w:lineRule="auto"/>
              <w:jc w:val="center"/>
              <w:rPr>
                <w:rFonts w:ascii="Arial" w:hAnsi="Arial" w:cs="Arial"/>
                <w:sz w:val="18"/>
                <w:szCs w:val="18"/>
                <w:lang w:val="en-US"/>
              </w:rPr>
            </w:pPr>
          </w:p>
          <w:p w:rsidR="00221EBB" w:rsidRPr="00931FED" w:rsidRDefault="00221EBB" w:rsidP="00221EBB">
            <w:pPr>
              <w:spacing w:line="480" w:lineRule="auto"/>
              <w:jc w:val="center"/>
              <w:rPr>
                <w:rFonts w:ascii="Arial" w:hAnsi="Arial" w:cs="Arial"/>
                <w:sz w:val="18"/>
                <w:szCs w:val="18"/>
                <w:lang w:val="en-US"/>
              </w:rPr>
            </w:pPr>
          </w:p>
          <w:p w:rsidR="00221EBB" w:rsidRPr="00931FED" w:rsidRDefault="00221EBB" w:rsidP="00221EBB">
            <w:pPr>
              <w:pStyle w:val="Corpodetexto"/>
              <w:spacing w:line="480" w:lineRule="auto"/>
              <w:jc w:val="center"/>
              <w:rPr>
                <w:rFonts w:ascii="Arial" w:hAnsi="Arial" w:cs="Arial"/>
                <w:sz w:val="18"/>
                <w:szCs w:val="18"/>
                <w:lang w:val="en-US"/>
              </w:rPr>
            </w:pPr>
            <w:r w:rsidRPr="00931FED">
              <w:rPr>
                <w:rFonts w:ascii="Arial" w:hAnsi="Arial" w:cs="Arial"/>
                <w:color w:val="212121"/>
                <w:sz w:val="18"/>
                <w:szCs w:val="18"/>
                <w:lang w:val="en"/>
              </w:rPr>
              <w:t>2 mini-implants between the 1</w:t>
            </w:r>
            <w:r w:rsidRPr="00931FED">
              <w:rPr>
                <w:rFonts w:ascii="Arial" w:hAnsi="Arial" w:cs="Arial"/>
                <w:color w:val="212121"/>
                <w:sz w:val="18"/>
                <w:szCs w:val="18"/>
                <w:vertAlign w:val="superscript"/>
                <w:lang w:val="en"/>
              </w:rPr>
              <w:t>0s</w:t>
            </w:r>
            <w:r w:rsidRPr="00931FED">
              <w:rPr>
                <w:rFonts w:ascii="Arial" w:hAnsi="Arial" w:cs="Arial"/>
                <w:color w:val="212121"/>
                <w:sz w:val="18"/>
                <w:szCs w:val="18"/>
                <w:lang w:val="en"/>
              </w:rPr>
              <w:t xml:space="preserve"> and 2</w:t>
            </w:r>
            <w:r w:rsidRPr="00931FED">
              <w:rPr>
                <w:rFonts w:ascii="Arial" w:hAnsi="Arial" w:cs="Arial"/>
                <w:color w:val="212121"/>
                <w:sz w:val="18"/>
                <w:szCs w:val="18"/>
                <w:vertAlign w:val="superscript"/>
                <w:lang w:val="en"/>
              </w:rPr>
              <w:t>0s</w:t>
            </w:r>
            <w:r w:rsidRPr="00931FED">
              <w:rPr>
                <w:rFonts w:ascii="Arial" w:hAnsi="Arial" w:cs="Arial"/>
                <w:color w:val="212121"/>
                <w:sz w:val="18"/>
                <w:szCs w:val="18"/>
                <w:lang w:val="en"/>
              </w:rPr>
              <w:t xml:space="preserve"> molar or between 2º premolar and 1 º  molar in the alveolar process by vestibular </w:t>
            </w:r>
          </w:p>
          <w:p w:rsidR="00221EBB" w:rsidRPr="00931FED" w:rsidRDefault="00221EBB" w:rsidP="00221EBB">
            <w:pPr>
              <w:pStyle w:val="Corpodetexto"/>
              <w:spacing w:line="480" w:lineRule="auto"/>
              <w:jc w:val="center"/>
              <w:rPr>
                <w:rFonts w:ascii="Arial" w:hAnsi="Arial" w:cs="Arial"/>
                <w:sz w:val="18"/>
                <w:szCs w:val="18"/>
                <w:lang w:val="en-US"/>
              </w:rPr>
            </w:pPr>
          </w:p>
        </w:tc>
        <w:tc>
          <w:tcPr>
            <w:tcW w:w="1559" w:type="dxa"/>
            <w:shd w:val="clear" w:color="auto" w:fill="auto"/>
            <w:vAlign w:val="center"/>
          </w:tcPr>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US"/>
              </w:rPr>
            </w:pPr>
            <w:r w:rsidRPr="00931FED">
              <w:rPr>
                <w:rFonts w:ascii="Arial" w:hAnsi="Arial" w:cs="Arial"/>
                <w:color w:val="212121"/>
                <w:sz w:val="18"/>
                <w:szCs w:val="18"/>
                <w:lang w:val="en"/>
              </w:rPr>
              <w:t>Increased intrusion of the maxillary molars with mini-implants</w:t>
            </w:r>
          </w:p>
          <w:p w:rsidR="00221EBB" w:rsidRPr="00931FED" w:rsidRDefault="00221EBB" w:rsidP="00221EBB">
            <w:pPr>
              <w:pStyle w:val="Corpodetexto"/>
              <w:spacing w:line="480" w:lineRule="auto"/>
              <w:jc w:val="center"/>
              <w:rPr>
                <w:rFonts w:ascii="Arial" w:hAnsi="Arial" w:cs="Arial"/>
                <w:sz w:val="18"/>
                <w:szCs w:val="18"/>
                <w:lang w:val="en-US"/>
              </w:rPr>
            </w:pPr>
          </w:p>
        </w:tc>
        <w:tc>
          <w:tcPr>
            <w:tcW w:w="690"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&lt;0.05</w:t>
            </w:r>
          </w:p>
        </w:tc>
      </w:tr>
      <w:tr w:rsidR="00221EBB" w:rsidRPr="00931FED" w:rsidTr="004426ED">
        <w:tc>
          <w:tcPr>
            <w:tcW w:w="1106" w:type="dxa"/>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sz w:val="18"/>
                <w:szCs w:val="18"/>
              </w:rPr>
              <w:t>Lee et al</w:t>
            </w:r>
            <w:r w:rsidRPr="00931FED">
              <w:rPr>
                <w:rFonts w:ascii="Arial" w:hAnsi="Arial" w:cs="Arial"/>
                <w:b/>
                <w:bCs/>
                <w:sz w:val="18"/>
                <w:szCs w:val="18"/>
                <w:vertAlign w:val="superscript"/>
              </w:rPr>
              <w:t>16</w:t>
            </w:r>
            <w:r w:rsidRPr="00931FED">
              <w:rPr>
                <w:rFonts w:ascii="Arial" w:hAnsi="Arial" w:cs="Arial"/>
                <w:b/>
                <w:bCs/>
                <w:sz w:val="18"/>
                <w:szCs w:val="18"/>
              </w:rPr>
              <w:t xml:space="preserve"> (2013)</w:t>
            </w:r>
          </w:p>
        </w:tc>
        <w:tc>
          <w:tcPr>
            <w:tcW w:w="1107"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28(6M/22F)</w:t>
            </w:r>
          </w:p>
          <w:p w:rsidR="00221EBB" w:rsidRPr="00931FED" w:rsidRDefault="00221EBB" w:rsidP="00221EBB">
            <w:pPr>
              <w:pStyle w:val="Corpodetexto"/>
              <w:spacing w:line="480" w:lineRule="auto"/>
              <w:rPr>
                <w:rFonts w:ascii="Arial" w:hAnsi="Arial" w:cs="Arial"/>
                <w:sz w:val="18"/>
                <w:szCs w:val="18"/>
              </w:rPr>
            </w:pPr>
          </w:p>
          <w:p w:rsidR="00221EBB" w:rsidRPr="00931FED" w:rsidRDefault="00221EBB" w:rsidP="00221EBB">
            <w:pPr>
              <w:pStyle w:val="Corpodetexto"/>
              <w:spacing w:line="480" w:lineRule="auto"/>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23(M)</w:t>
            </w:r>
          </w:p>
          <w:p w:rsidR="00221EBB" w:rsidRPr="00931FED" w:rsidRDefault="00221EBB" w:rsidP="00221EBB">
            <w:pPr>
              <w:pStyle w:val="Corpodetexto"/>
              <w:spacing w:line="480" w:lineRule="auto"/>
              <w:jc w:val="center"/>
              <w:rPr>
                <w:rFonts w:ascii="Arial" w:hAnsi="Arial" w:cs="Arial"/>
                <w:sz w:val="18"/>
                <w:szCs w:val="18"/>
              </w:rPr>
            </w:pPr>
          </w:p>
        </w:tc>
        <w:tc>
          <w:tcPr>
            <w:tcW w:w="1083"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19.6±7.3</w:t>
            </w: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p>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21.5±6.19</w:t>
            </w:r>
          </w:p>
          <w:p w:rsidR="00221EBB" w:rsidRPr="00931FED" w:rsidRDefault="00221EBB" w:rsidP="00221EBB">
            <w:pPr>
              <w:pStyle w:val="Corpodetexto"/>
              <w:spacing w:line="480" w:lineRule="auto"/>
              <w:jc w:val="center"/>
              <w:rPr>
                <w:rFonts w:ascii="Arial" w:hAnsi="Arial" w:cs="Arial"/>
                <w:sz w:val="18"/>
                <w:szCs w:val="18"/>
              </w:rPr>
            </w:pPr>
          </w:p>
        </w:tc>
        <w:tc>
          <w:tcPr>
            <w:tcW w:w="1357" w:type="dxa"/>
            <w:shd w:val="clear" w:color="auto" w:fill="auto"/>
            <w:vAlign w:val="center"/>
          </w:tcPr>
          <w:p w:rsidR="00221EBB" w:rsidRPr="00931FED" w:rsidRDefault="00221EBB" w:rsidP="00221EBB">
            <w:pPr>
              <w:spacing w:line="480" w:lineRule="auto"/>
              <w:jc w:val="center"/>
              <w:rPr>
                <w:rFonts w:ascii="Arial" w:hAnsi="Arial" w:cs="Arial"/>
                <w:sz w:val="18"/>
                <w:szCs w:val="18"/>
              </w:rPr>
            </w:pPr>
            <w:r w:rsidRPr="00931FED">
              <w:rPr>
                <w:rFonts w:ascii="Arial" w:hAnsi="Arial" w:cs="Arial"/>
                <w:sz w:val="18"/>
                <w:szCs w:val="18"/>
              </w:rPr>
              <w:t>MAA ≥ 2mm</w:t>
            </w:r>
          </w:p>
        </w:tc>
        <w:tc>
          <w:tcPr>
            <w:tcW w:w="1602" w:type="dxa"/>
            <w:shd w:val="clear" w:color="auto" w:fill="auto"/>
            <w:vAlign w:val="center"/>
          </w:tcPr>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US"/>
              </w:rPr>
            </w:pPr>
            <w:r w:rsidRPr="00931FED">
              <w:rPr>
                <w:rFonts w:ascii="Arial" w:hAnsi="Arial" w:cs="Arial"/>
                <w:color w:val="212121"/>
                <w:sz w:val="18"/>
                <w:szCs w:val="18"/>
                <w:lang w:val="en"/>
              </w:rPr>
              <w:t>Extraoral High pull of 250g / f; transpalatal arch; intermaxillary elastic</w:t>
            </w:r>
          </w:p>
          <w:p w:rsidR="00221EBB" w:rsidRPr="00931FED" w:rsidRDefault="00221EBB" w:rsidP="00221EBB">
            <w:pPr>
              <w:spacing w:line="480" w:lineRule="auto"/>
              <w:jc w:val="center"/>
              <w:rPr>
                <w:rFonts w:ascii="Arial" w:hAnsi="Arial" w:cs="Arial"/>
                <w:sz w:val="18"/>
                <w:szCs w:val="18"/>
                <w:lang w:val="en-US"/>
              </w:rPr>
            </w:pPr>
            <w:r w:rsidRPr="00931FED">
              <w:rPr>
                <w:rFonts w:ascii="Arial" w:hAnsi="Arial" w:cs="Arial"/>
                <w:sz w:val="18"/>
                <w:szCs w:val="18"/>
                <w:lang w:val="en-US"/>
              </w:rPr>
              <w:t>.</w:t>
            </w:r>
          </w:p>
          <w:p w:rsidR="00221EBB" w:rsidRPr="00931FED" w:rsidRDefault="00221EBB" w:rsidP="00221EBB">
            <w:pPr>
              <w:pStyle w:val="Corpodetexto"/>
              <w:spacing w:line="480" w:lineRule="auto"/>
              <w:jc w:val="center"/>
              <w:rPr>
                <w:rFonts w:ascii="Arial" w:hAnsi="Arial" w:cs="Arial"/>
                <w:sz w:val="18"/>
                <w:szCs w:val="18"/>
                <w:lang w:val="en-US"/>
              </w:rPr>
            </w:pPr>
          </w:p>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US"/>
              </w:rPr>
            </w:pPr>
            <w:r w:rsidRPr="00931FED">
              <w:rPr>
                <w:rFonts w:ascii="Arial" w:hAnsi="Arial" w:cs="Arial"/>
                <w:color w:val="212121"/>
                <w:sz w:val="18"/>
                <w:szCs w:val="18"/>
                <w:lang w:val="en"/>
              </w:rPr>
              <w:t xml:space="preserve">2 mini-implants in the medial </w:t>
            </w:r>
            <w:r w:rsidRPr="00931FED">
              <w:rPr>
                <w:rFonts w:ascii="Arial" w:hAnsi="Arial" w:cs="Arial"/>
                <w:color w:val="212121"/>
                <w:sz w:val="18"/>
                <w:szCs w:val="18"/>
                <w:lang w:val="en"/>
              </w:rPr>
              <w:lastRenderedPageBreak/>
              <w:t>palatal suture 2x6mm</w:t>
            </w:r>
          </w:p>
          <w:p w:rsidR="00221EBB" w:rsidRPr="00931FED" w:rsidRDefault="00221EBB" w:rsidP="00221EBB">
            <w:pPr>
              <w:pStyle w:val="Corpodetexto"/>
              <w:spacing w:line="480" w:lineRule="auto"/>
              <w:jc w:val="center"/>
              <w:rPr>
                <w:rFonts w:ascii="Arial" w:hAnsi="Arial" w:cs="Arial"/>
                <w:sz w:val="18"/>
                <w:szCs w:val="18"/>
                <w:lang w:val="en-US"/>
              </w:rPr>
            </w:pPr>
          </w:p>
        </w:tc>
        <w:tc>
          <w:tcPr>
            <w:tcW w:w="1559" w:type="dxa"/>
            <w:shd w:val="clear" w:color="auto" w:fill="auto"/>
            <w:vAlign w:val="center"/>
          </w:tcPr>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US"/>
              </w:rPr>
            </w:pPr>
            <w:r w:rsidRPr="00931FED">
              <w:rPr>
                <w:rFonts w:ascii="Arial" w:hAnsi="Arial" w:cs="Arial"/>
                <w:color w:val="212121"/>
                <w:sz w:val="18"/>
                <w:szCs w:val="18"/>
                <w:lang w:val="en"/>
              </w:rPr>
              <w:lastRenderedPageBreak/>
              <w:t>The maxillary molars were intruded 0.71mm</w:t>
            </w:r>
          </w:p>
          <w:p w:rsidR="00221EBB" w:rsidRPr="00931FED" w:rsidRDefault="00221EBB" w:rsidP="00221EBB">
            <w:pPr>
              <w:spacing w:line="480" w:lineRule="auto"/>
              <w:rPr>
                <w:rFonts w:ascii="Arial" w:hAnsi="Arial" w:cs="Arial"/>
                <w:sz w:val="18"/>
                <w:szCs w:val="18"/>
                <w:lang w:val="en-US"/>
              </w:rPr>
            </w:pPr>
          </w:p>
          <w:p w:rsidR="00221EBB" w:rsidRPr="00931FED" w:rsidRDefault="00221EBB" w:rsidP="00221EBB">
            <w:pPr>
              <w:spacing w:line="480" w:lineRule="auto"/>
              <w:jc w:val="center"/>
              <w:rPr>
                <w:rFonts w:ascii="Arial" w:hAnsi="Arial" w:cs="Arial"/>
                <w:sz w:val="18"/>
                <w:szCs w:val="18"/>
                <w:lang w:val="en-US"/>
              </w:rPr>
            </w:pPr>
          </w:p>
          <w:p w:rsidR="00221EBB" w:rsidRPr="00931FED" w:rsidRDefault="00221EBB" w:rsidP="00221EBB">
            <w:pPr>
              <w:spacing w:line="480" w:lineRule="auto"/>
              <w:jc w:val="center"/>
              <w:rPr>
                <w:rFonts w:ascii="Arial" w:hAnsi="Arial" w:cs="Arial"/>
                <w:sz w:val="18"/>
                <w:szCs w:val="18"/>
                <w:lang w:val="en-US"/>
              </w:rPr>
            </w:pPr>
            <w:r w:rsidRPr="00931FED">
              <w:rPr>
                <w:rFonts w:ascii="Arial" w:hAnsi="Arial" w:cs="Arial"/>
                <w:color w:val="212121"/>
                <w:sz w:val="18"/>
                <w:szCs w:val="18"/>
                <w:lang w:val="en"/>
              </w:rPr>
              <w:t xml:space="preserve">The maxillary molars </w:t>
            </w:r>
            <w:r w:rsidRPr="00931FED">
              <w:rPr>
                <w:rFonts w:ascii="Arial" w:hAnsi="Arial" w:cs="Arial"/>
                <w:color w:val="212121"/>
                <w:sz w:val="18"/>
                <w:szCs w:val="18"/>
                <w:lang w:val="en"/>
              </w:rPr>
              <w:lastRenderedPageBreak/>
              <w:t xml:space="preserve">were intruded </w:t>
            </w:r>
            <w:r w:rsidRPr="00931FED">
              <w:rPr>
                <w:rFonts w:ascii="Arial" w:hAnsi="Arial" w:cs="Arial"/>
                <w:sz w:val="18"/>
                <w:szCs w:val="18"/>
                <w:lang w:val="en-US"/>
              </w:rPr>
              <w:t>1.30mm</w:t>
            </w:r>
          </w:p>
        </w:tc>
        <w:tc>
          <w:tcPr>
            <w:tcW w:w="690"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lastRenderedPageBreak/>
              <w:t>&lt;0.001</w:t>
            </w:r>
          </w:p>
        </w:tc>
      </w:tr>
      <w:tr w:rsidR="00221EBB" w:rsidRPr="00931FED" w:rsidTr="004426ED">
        <w:trPr>
          <w:trHeight w:val="1905"/>
        </w:trPr>
        <w:tc>
          <w:tcPr>
            <w:tcW w:w="1106" w:type="dxa"/>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sz w:val="18"/>
                <w:szCs w:val="18"/>
              </w:rPr>
              <w:t>Foot et al</w:t>
            </w:r>
            <w:r w:rsidRPr="00931FED">
              <w:rPr>
                <w:rFonts w:ascii="Arial" w:hAnsi="Arial" w:cs="Arial"/>
                <w:b/>
                <w:bCs/>
                <w:sz w:val="18"/>
                <w:szCs w:val="18"/>
                <w:vertAlign w:val="superscript"/>
              </w:rPr>
              <w:t>17</w:t>
            </w:r>
            <w:r w:rsidRPr="00931FED">
              <w:rPr>
                <w:rFonts w:ascii="Arial" w:hAnsi="Arial" w:cs="Arial"/>
                <w:b/>
                <w:bCs/>
                <w:sz w:val="18"/>
                <w:szCs w:val="18"/>
              </w:rPr>
              <w:t xml:space="preserve"> (2014)</w:t>
            </w:r>
          </w:p>
        </w:tc>
        <w:tc>
          <w:tcPr>
            <w:tcW w:w="1107"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16(12F/4M)</w:t>
            </w:r>
          </w:p>
        </w:tc>
        <w:tc>
          <w:tcPr>
            <w:tcW w:w="1083"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13.1(between 12.2 and 14.3)</w:t>
            </w:r>
          </w:p>
        </w:tc>
        <w:tc>
          <w:tcPr>
            <w:tcW w:w="1357"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MAA ≥ 2mm</w:t>
            </w:r>
          </w:p>
        </w:tc>
        <w:tc>
          <w:tcPr>
            <w:tcW w:w="1602" w:type="dxa"/>
            <w:shd w:val="clear" w:color="auto" w:fill="auto"/>
            <w:vAlign w:val="center"/>
          </w:tcPr>
          <w:p w:rsidR="00221EBB" w:rsidRPr="00931FED" w:rsidRDefault="00221EBB" w:rsidP="00221EBB">
            <w:pPr>
              <w:spacing w:line="480" w:lineRule="auto"/>
              <w:jc w:val="center"/>
              <w:rPr>
                <w:rFonts w:ascii="Arial" w:hAnsi="Arial" w:cs="Arial"/>
                <w:sz w:val="18"/>
                <w:szCs w:val="18"/>
                <w:lang w:val="en-US"/>
              </w:rPr>
            </w:pPr>
          </w:p>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
              </w:rPr>
            </w:pPr>
            <w:r w:rsidRPr="00931FED">
              <w:rPr>
                <w:rFonts w:ascii="Arial" w:hAnsi="Arial" w:cs="Arial"/>
                <w:color w:val="212121"/>
                <w:sz w:val="18"/>
                <w:szCs w:val="18"/>
                <w:lang w:val="en"/>
              </w:rPr>
              <w:t>4 mini-implants in the posterior region of the maxilla in the alveolar process by vestibular (2 on each side)</w:t>
            </w:r>
          </w:p>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US"/>
              </w:rPr>
            </w:pPr>
            <w:r w:rsidRPr="00931FED">
              <w:rPr>
                <w:rFonts w:ascii="Arial" w:hAnsi="Arial" w:cs="Arial"/>
                <w:color w:val="212121"/>
                <w:sz w:val="18"/>
                <w:szCs w:val="18"/>
                <w:lang w:val="en"/>
              </w:rPr>
              <w:t>500g / f and continuous arc 0.017X0.025mm</w:t>
            </w:r>
          </w:p>
          <w:p w:rsidR="00221EBB" w:rsidRPr="00931FED" w:rsidRDefault="00221EBB" w:rsidP="00221EBB">
            <w:pPr>
              <w:pStyle w:val="Corpodetexto"/>
              <w:spacing w:line="480" w:lineRule="auto"/>
              <w:jc w:val="center"/>
              <w:rPr>
                <w:rFonts w:ascii="Arial" w:hAnsi="Arial" w:cs="Arial"/>
                <w:sz w:val="18"/>
                <w:szCs w:val="18"/>
                <w:lang w:val="en-US"/>
              </w:rPr>
            </w:pPr>
          </w:p>
        </w:tc>
        <w:tc>
          <w:tcPr>
            <w:tcW w:w="1559" w:type="dxa"/>
            <w:shd w:val="clear" w:color="auto" w:fill="auto"/>
            <w:vAlign w:val="center"/>
          </w:tcPr>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
              </w:rPr>
            </w:pPr>
            <w:r w:rsidRPr="00931FED">
              <w:rPr>
                <w:rFonts w:ascii="Arial" w:hAnsi="Arial" w:cs="Arial"/>
                <w:color w:val="212121"/>
                <w:sz w:val="18"/>
                <w:szCs w:val="18"/>
                <w:lang w:val="en"/>
              </w:rPr>
              <w:t>Intrusion of maxillary molars 2.9 ± 0.8mm</w:t>
            </w:r>
          </w:p>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US"/>
              </w:rPr>
            </w:pPr>
            <w:r w:rsidRPr="00931FED">
              <w:rPr>
                <w:rFonts w:ascii="Arial" w:hAnsi="Arial" w:cs="Arial"/>
                <w:color w:val="212121"/>
                <w:sz w:val="18"/>
                <w:szCs w:val="18"/>
                <w:lang w:val="en"/>
              </w:rPr>
              <w:t>Overbite increased 3 ± 1.5mm</w:t>
            </w:r>
          </w:p>
          <w:p w:rsidR="00221EBB" w:rsidRPr="00931FED" w:rsidRDefault="00221EBB" w:rsidP="00221EBB">
            <w:pPr>
              <w:spacing w:line="480" w:lineRule="auto"/>
              <w:jc w:val="center"/>
              <w:rPr>
                <w:rFonts w:ascii="Arial" w:hAnsi="Arial" w:cs="Arial"/>
                <w:sz w:val="18"/>
                <w:szCs w:val="18"/>
                <w:lang w:val="en-US"/>
              </w:rPr>
            </w:pPr>
          </w:p>
        </w:tc>
        <w:tc>
          <w:tcPr>
            <w:tcW w:w="690"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&lt;0.001</w:t>
            </w:r>
          </w:p>
        </w:tc>
      </w:tr>
      <w:tr w:rsidR="00221EBB" w:rsidRPr="00931FED" w:rsidTr="004426ED">
        <w:trPr>
          <w:trHeight w:val="2430"/>
        </w:trPr>
        <w:tc>
          <w:tcPr>
            <w:tcW w:w="1106" w:type="dxa"/>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rPr>
            </w:pPr>
            <w:r w:rsidRPr="00931FED">
              <w:rPr>
                <w:rFonts w:ascii="Arial" w:hAnsi="Arial" w:cs="Arial"/>
                <w:b/>
                <w:bCs/>
                <w:sz w:val="18"/>
                <w:szCs w:val="18"/>
              </w:rPr>
              <w:t>Scheffler et al</w:t>
            </w:r>
            <w:r w:rsidRPr="00931FED">
              <w:rPr>
                <w:rFonts w:ascii="Arial" w:hAnsi="Arial" w:cs="Arial"/>
                <w:b/>
                <w:bCs/>
                <w:sz w:val="18"/>
                <w:szCs w:val="18"/>
                <w:vertAlign w:val="superscript"/>
              </w:rPr>
              <w:t>18</w:t>
            </w:r>
            <w:r w:rsidRPr="00931FED">
              <w:rPr>
                <w:rFonts w:ascii="Arial" w:hAnsi="Arial" w:cs="Arial"/>
                <w:b/>
                <w:bCs/>
                <w:sz w:val="18"/>
                <w:szCs w:val="18"/>
              </w:rPr>
              <w:t xml:space="preserve"> (2014)</w:t>
            </w:r>
          </w:p>
        </w:tc>
        <w:tc>
          <w:tcPr>
            <w:tcW w:w="1107"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30(11M/19F)</w:t>
            </w:r>
          </w:p>
        </w:tc>
        <w:tc>
          <w:tcPr>
            <w:tcW w:w="1083"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24.1±10.7</w:t>
            </w:r>
          </w:p>
        </w:tc>
        <w:tc>
          <w:tcPr>
            <w:tcW w:w="1357" w:type="dxa"/>
            <w:shd w:val="clear" w:color="auto" w:fill="auto"/>
            <w:vAlign w:val="center"/>
          </w:tcPr>
          <w:p w:rsidR="00221EBB" w:rsidRPr="00931FED" w:rsidRDefault="00221EBB" w:rsidP="00221EBB">
            <w:pPr>
              <w:spacing w:line="480" w:lineRule="auto"/>
              <w:jc w:val="center"/>
              <w:rPr>
                <w:rFonts w:ascii="Arial" w:hAnsi="Arial" w:cs="Arial"/>
                <w:sz w:val="18"/>
                <w:szCs w:val="18"/>
                <w:lang w:val="en-US"/>
              </w:rPr>
            </w:pPr>
            <w:r w:rsidRPr="00931FED">
              <w:rPr>
                <w:rFonts w:ascii="Arial" w:hAnsi="Arial" w:cs="Arial"/>
                <w:sz w:val="18"/>
                <w:szCs w:val="18"/>
                <w:lang w:val="en-US"/>
              </w:rPr>
              <w:t>MAA -.2mm±1.7</w:t>
            </w:r>
          </w:p>
          <w:p w:rsidR="00221EBB" w:rsidRPr="00931FED" w:rsidRDefault="00221EBB" w:rsidP="00221EBB">
            <w:pPr>
              <w:pStyle w:val="Corpodetexto"/>
              <w:spacing w:line="480" w:lineRule="auto"/>
              <w:jc w:val="center"/>
              <w:rPr>
                <w:rFonts w:ascii="Arial" w:hAnsi="Arial" w:cs="Arial"/>
                <w:sz w:val="18"/>
                <w:szCs w:val="18"/>
                <w:lang w:val="en-US"/>
              </w:rPr>
            </w:pPr>
            <w:r w:rsidRPr="00931FED">
              <w:rPr>
                <w:rFonts w:ascii="Arial" w:hAnsi="Arial" w:cs="Arial"/>
                <w:sz w:val="18"/>
                <w:szCs w:val="18"/>
                <w:lang w:val="en-US"/>
              </w:rPr>
              <w:t xml:space="preserve">High mandibular plane </w:t>
            </w:r>
          </w:p>
        </w:tc>
        <w:tc>
          <w:tcPr>
            <w:tcW w:w="1602" w:type="dxa"/>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lang w:val="en-US"/>
              </w:rPr>
            </w:pPr>
            <w:r w:rsidRPr="00931FED">
              <w:rPr>
                <w:rFonts w:ascii="Arial" w:hAnsi="Arial" w:cs="Arial"/>
                <w:sz w:val="18"/>
                <w:szCs w:val="18"/>
                <w:lang w:val="en-US"/>
              </w:rPr>
              <w:t>2 mini-implants between  1</w:t>
            </w:r>
            <w:r w:rsidRPr="00931FED">
              <w:rPr>
                <w:rFonts w:ascii="Arial" w:hAnsi="Arial" w:cs="Arial"/>
                <w:sz w:val="18"/>
                <w:szCs w:val="18"/>
                <w:vertAlign w:val="superscript"/>
                <w:lang w:val="en-US"/>
              </w:rPr>
              <w:t>0s</w:t>
            </w:r>
            <w:r w:rsidRPr="00931FED">
              <w:rPr>
                <w:rFonts w:ascii="Arial" w:hAnsi="Arial" w:cs="Arial"/>
                <w:sz w:val="18"/>
                <w:szCs w:val="18"/>
                <w:lang w:val="en-US"/>
              </w:rPr>
              <w:t xml:space="preserve"> e 2</w:t>
            </w:r>
            <w:r w:rsidRPr="00931FED">
              <w:rPr>
                <w:rFonts w:ascii="Arial" w:hAnsi="Arial" w:cs="Arial"/>
                <w:sz w:val="18"/>
                <w:szCs w:val="18"/>
                <w:vertAlign w:val="superscript"/>
                <w:lang w:val="en-US"/>
              </w:rPr>
              <w:t>0s</w:t>
            </w:r>
            <w:r w:rsidRPr="00931FED">
              <w:rPr>
                <w:rFonts w:ascii="Arial" w:hAnsi="Arial" w:cs="Arial"/>
                <w:sz w:val="18"/>
                <w:szCs w:val="18"/>
                <w:lang w:val="en-US"/>
              </w:rPr>
              <w:t xml:space="preserve"> molars (1 on each side) </w:t>
            </w:r>
            <w:r w:rsidRPr="00931FED">
              <w:rPr>
                <w:rFonts w:ascii="Arial" w:hAnsi="Arial" w:cs="Arial"/>
                <w:color w:val="212121"/>
                <w:sz w:val="18"/>
                <w:szCs w:val="18"/>
                <w:lang w:val="en"/>
              </w:rPr>
              <w:t xml:space="preserve">in the alveolar process by vestibular </w:t>
            </w:r>
          </w:p>
        </w:tc>
        <w:tc>
          <w:tcPr>
            <w:tcW w:w="1559" w:type="dxa"/>
            <w:shd w:val="clear" w:color="auto" w:fill="auto"/>
            <w:vAlign w:val="center"/>
          </w:tcPr>
          <w:p w:rsidR="00221EBB" w:rsidRPr="00931FED" w:rsidRDefault="00221EBB" w:rsidP="00221EBB">
            <w:pPr>
              <w:spacing w:line="480" w:lineRule="auto"/>
              <w:jc w:val="center"/>
              <w:rPr>
                <w:rFonts w:ascii="Arial" w:hAnsi="Arial" w:cs="Arial"/>
                <w:sz w:val="18"/>
                <w:szCs w:val="18"/>
                <w:lang w:val="en-US"/>
              </w:rPr>
            </w:pPr>
          </w:p>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lang w:val="en-US"/>
              </w:rPr>
            </w:pPr>
            <w:r w:rsidRPr="00931FED">
              <w:rPr>
                <w:rFonts w:ascii="Arial" w:hAnsi="Arial" w:cs="Arial"/>
                <w:color w:val="212121"/>
                <w:sz w:val="18"/>
                <w:szCs w:val="18"/>
                <w:lang w:val="en"/>
              </w:rPr>
              <w:t xml:space="preserve">Intrusion of maxillary molars 2.3mm in average. Decrease of facial height in average of 1.6mm. There was an average recurrence of molar intrusion of 0.2 mm and facial </w:t>
            </w:r>
            <w:r w:rsidRPr="00931FED">
              <w:rPr>
                <w:rFonts w:ascii="Arial" w:hAnsi="Arial" w:cs="Arial"/>
                <w:color w:val="212121"/>
                <w:sz w:val="18"/>
                <w:szCs w:val="18"/>
                <w:lang w:val="en"/>
              </w:rPr>
              <w:lastRenderedPageBreak/>
              <w:t>height of 0.5 mm after 2 years of treatment</w:t>
            </w:r>
          </w:p>
          <w:p w:rsidR="00221EBB" w:rsidRPr="00931FED" w:rsidRDefault="00221EBB" w:rsidP="00221EBB">
            <w:pPr>
              <w:spacing w:line="480" w:lineRule="auto"/>
              <w:jc w:val="center"/>
              <w:rPr>
                <w:rFonts w:ascii="Arial" w:hAnsi="Arial" w:cs="Arial"/>
                <w:sz w:val="18"/>
                <w:szCs w:val="18"/>
                <w:lang w:val="en-US"/>
              </w:rPr>
            </w:pPr>
          </w:p>
        </w:tc>
        <w:tc>
          <w:tcPr>
            <w:tcW w:w="690" w:type="dxa"/>
            <w:shd w:val="clear" w:color="auto" w:fill="auto"/>
            <w:vAlign w:val="center"/>
          </w:tcPr>
          <w:p w:rsidR="00221EBB" w:rsidRPr="00931FED" w:rsidRDefault="00221EBB" w:rsidP="00221EBB">
            <w:pPr>
              <w:spacing w:line="480" w:lineRule="auto"/>
              <w:jc w:val="center"/>
              <w:rPr>
                <w:rFonts w:ascii="Arial" w:hAnsi="Arial" w:cs="Arial"/>
                <w:sz w:val="18"/>
                <w:szCs w:val="18"/>
              </w:rPr>
            </w:pPr>
            <w:r w:rsidRPr="00931FED">
              <w:rPr>
                <w:rFonts w:ascii="Arial" w:hAnsi="Arial" w:cs="Arial"/>
                <w:sz w:val="18"/>
                <w:szCs w:val="18"/>
              </w:rPr>
              <w:lastRenderedPageBreak/>
              <w:t>&lt;0.05</w:t>
            </w:r>
          </w:p>
        </w:tc>
      </w:tr>
      <w:tr w:rsidR="00221EBB" w:rsidRPr="00931FED" w:rsidTr="004426ED">
        <w:tc>
          <w:tcPr>
            <w:tcW w:w="1106" w:type="dxa"/>
            <w:tcBorders>
              <w:bottom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b/>
                <w:bCs/>
                <w:sz w:val="18"/>
                <w:szCs w:val="18"/>
                <w:vertAlign w:val="superscript"/>
              </w:rPr>
            </w:pPr>
            <w:r w:rsidRPr="00931FED">
              <w:rPr>
                <w:rFonts w:ascii="Arial" w:hAnsi="Arial" w:cs="Arial"/>
                <w:b/>
                <w:bCs/>
                <w:sz w:val="18"/>
                <w:szCs w:val="18"/>
              </w:rPr>
              <w:t>Hart et al</w:t>
            </w:r>
            <w:r w:rsidRPr="00931FED">
              <w:rPr>
                <w:rFonts w:ascii="Arial" w:hAnsi="Arial" w:cs="Arial"/>
                <w:b/>
                <w:bCs/>
                <w:sz w:val="18"/>
                <w:szCs w:val="18"/>
                <w:vertAlign w:val="superscript"/>
              </w:rPr>
              <w:t>19</w:t>
            </w:r>
            <w:r w:rsidRPr="00931FED">
              <w:rPr>
                <w:rFonts w:ascii="Arial" w:hAnsi="Arial" w:cs="Arial"/>
                <w:b/>
                <w:bCs/>
                <w:sz w:val="18"/>
                <w:szCs w:val="18"/>
              </w:rPr>
              <w:t xml:space="preserve"> (2015)</w:t>
            </w:r>
          </w:p>
        </w:tc>
        <w:tc>
          <w:tcPr>
            <w:tcW w:w="1107" w:type="dxa"/>
            <w:tcBorders>
              <w:bottom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31(21F/10M)</w:t>
            </w:r>
          </w:p>
        </w:tc>
        <w:tc>
          <w:tcPr>
            <w:tcW w:w="1083" w:type="dxa"/>
            <w:tcBorders>
              <w:bottom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20.7(between 11.6 and 55 years)</w:t>
            </w:r>
          </w:p>
        </w:tc>
        <w:tc>
          <w:tcPr>
            <w:tcW w:w="1357" w:type="dxa"/>
            <w:tcBorders>
              <w:bottom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MAA</w:t>
            </w:r>
          </w:p>
        </w:tc>
        <w:tc>
          <w:tcPr>
            <w:tcW w:w="1602" w:type="dxa"/>
            <w:tcBorders>
              <w:bottom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lang w:val="en-US"/>
              </w:rPr>
            </w:pPr>
            <w:r w:rsidRPr="00931FED">
              <w:rPr>
                <w:rFonts w:ascii="Arial" w:hAnsi="Arial" w:cs="Arial"/>
                <w:sz w:val="18"/>
                <w:szCs w:val="18"/>
                <w:lang w:val="en-US"/>
              </w:rPr>
              <w:t>2 mini-implants between  1</w:t>
            </w:r>
            <w:r w:rsidRPr="00931FED">
              <w:rPr>
                <w:rFonts w:ascii="Arial" w:hAnsi="Arial" w:cs="Arial"/>
                <w:sz w:val="18"/>
                <w:szCs w:val="18"/>
                <w:vertAlign w:val="superscript"/>
                <w:lang w:val="en-US"/>
              </w:rPr>
              <w:t>0s</w:t>
            </w:r>
            <w:r w:rsidRPr="00931FED">
              <w:rPr>
                <w:rFonts w:ascii="Arial" w:hAnsi="Arial" w:cs="Arial"/>
                <w:sz w:val="18"/>
                <w:szCs w:val="18"/>
                <w:lang w:val="en-US"/>
              </w:rPr>
              <w:t xml:space="preserve"> e 2</w:t>
            </w:r>
            <w:r w:rsidRPr="00931FED">
              <w:rPr>
                <w:rFonts w:ascii="Arial" w:hAnsi="Arial" w:cs="Arial"/>
                <w:sz w:val="18"/>
                <w:szCs w:val="18"/>
                <w:vertAlign w:val="superscript"/>
                <w:lang w:val="en-US"/>
              </w:rPr>
              <w:t>0s</w:t>
            </w:r>
            <w:r w:rsidRPr="00931FED">
              <w:rPr>
                <w:rFonts w:ascii="Arial" w:hAnsi="Arial" w:cs="Arial"/>
                <w:sz w:val="18"/>
                <w:szCs w:val="18"/>
                <w:lang w:val="en-US"/>
              </w:rPr>
              <w:t xml:space="preserve"> molars (1 on each side) </w:t>
            </w:r>
            <w:r w:rsidRPr="00931FED">
              <w:rPr>
                <w:rFonts w:ascii="Arial" w:hAnsi="Arial" w:cs="Arial"/>
                <w:color w:val="212121"/>
                <w:sz w:val="18"/>
                <w:szCs w:val="18"/>
                <w:lang w:val="en"/>
              </w:rPr>
              <w:t>in the alveolar process by palatine</w:t>
            </w:r>
          </w:p>
        </w:tc>
        <w:tc>
          <w:tcPr>
            <w:tcW w:w="1559" w:type="dxa"/>
            <w:tcBorders>
              <w:bottom w:val="single" w:sz="4" w:space="0" w:color="auto"/>
            </w:tcBorders>
            <w:shd w:val="clear" w:color="auto" w:fill="auto"/>
            <w:vAlign w:val="center"/>
          </w:tcPr>
          <w:p w:rsidR="00221EBB" w:rsidRPr="00931FED" w:rsidRDefault="00221EBB" w:rsidP="00221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sz w:val="18"/>
                <w:szCs w:val="18"/>
                <w:vertAlign w:val="superscript"/>
              </w:rPr>
            </w:pPr>
            <w:r w:rsidRPr="00931FED">
              <w:rPr>
                <w:rFonts w:ascii="Arial" w:hAnsi="Arial" w:cs="Arial"/>
                <w:color w:val="212121"/>
                <w:sz w:val="18"/>
                <w:szCs w:val="18"/>
                <w:vertAlign w:val="superscript"/>
                <w:lang w:val="en"/>
              </w:rPr>
              <w:t>Intrusion of the upper molars by 90% (28 of 31) and 74% (23 of 31) respectively. The molars 2.3 mm and 20 molars 1.6 mm on average</w:t>
            </w:r>
          </w:p>
          <w:p w:rsidR="00221EBB" w:rsidRPr="00931FED" w:rsidRDefault="00221EBB" w:rsidP="00221EBB">
            <w:pPr>
              <w:spacing w:line="480" w:lineRule="auto"/>
              <w:jc w:val="center"/>
              <w:rPr>
                <w:rFonts w:ascii="Arial" w:hAnsi="Arial" w:cs="Arial"/>
                <w:sz w:val="18"/>
                <w:szCs w:val="18"/>
              </w:rPr>
            </w:pPr>
          </w:p>
        </w:tc>
        <w:tc>
          <w:tcPr>
            <w:tcW w:w="690" w:type="dxa"/>
            <w:tcBorders>
              <w:bottom w:val="single" w:sz="4" w:space="0" w:color="auto"/>
            </w:tcBorders>
            <w:shd w:val="clear" w:color="auto" w:fill="auto"/>
            <w:vAlign w:val="center"/>
          </w:tcPr>
          <w:p w:rsidR="00221EBB" w:rsidRPr="00931FED" w:rsidRDefault="00221EBB" w:rsidP="00221EBB">
            <w:pPr>
              <w:pStyle w:val="Corpodetexto"/>
              <w:spacing w:line="480" w:lineRule="auto"/>
              <w:jc w:val="center"/>
              <w:rPr>
                <w:rFonts w:ascii="Arial" w:hAnsi="Arial" w:cs="Arial"/>
                <w:sz w:val="18"/>
                <w:szCs w:val="18"/>
              </w:rPr>
            </w:pPr>
            <w:r w:rsidRPr="00931FED">
              <w:rPr>
                <w:rFonts w:ascii="Arial" w:hAnsi="Arial" w:cs="Arial"/>
                <w:sz w:val="18"/>
                <w:szCs w:val="18"/>
              </w:rPr>
              <w:t>&lt;0.001</w:t>
            </w:r>
          </w:p>
        </w:tc>
      </w:tr>
    </w:tbl>
    <w:p w:rsidR="00221EBB" w:rsidRPr="004A4A9E" w:rsidRDefault="00221EBB"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p>
    <w:p w:rsidR="00E73C58" w:rsidRPr="004A4A9E" w:rsidRDefault="00E73C58" w:rsidP="004A4A9E">
      <w:pPr>
        <w:autoSpaceDE w:val="0"/>
        <w:autoSpaceDN w:val="0"/>
        <w:adjustRightInd w:val="0"/>
        <w:spacing w:line="480" w:lineRule="auto"/>
        <w:jc w:val="both"/>
        <w:rPr>
          <w:rFonts w:ascii="Arial" w:eastAsia="Calibri" w:hAnsi="Arial" w:cs="Arial"/>
          <w:b/>
          <w:lang w:val="en-US"/>
        </w:rPr>
      </w:pPr>
    </w:p>
    <w:p w:rsidR="00E73C58" w:rsidRPr="004A4A9E" w:rsidRDefault="00E73C58" w:rsidP="004A4A9E">
      <w:pPr>
        <w:autoSpaceDE w:val="0"/>
        <w:autoSpaceDN w:val="0"/>
        <w:adjustRightInd w:val="0"/>
        <w:spacing w:line="480" w:lineRule="auto"/>
        <w:jc w:val="both"/>
        <w:rPr>
          <w:rFonts w:ascii="Arial" w:eastAsia="Calibri" w:hAnsi="Arial" w:cs="Arial"/>
          <w:b/>
          <w:lang w:val="en-US"/>
        </w:rPr>
      </w:pPr>
      <w:r w:rsidRPr="004A4A9E">
        <w:rPr>
          <w:rFonts w:ascii="Arial" w:eastAsia="Calibri" w:hAnsi="Arial" w:cs="Arial"/>
          <w:b/>
          <w:lang w:val="en-US"/>
        </w:rPr>
        <w:t>DISCUSS</w:t>
      </w:r>
      <w:r w:rsidR="00653022" w:rsidRPr="004A4A9E">
        <w:rPr>
          <w:rFonts w:ascii="Arial" w:eastAsia="Calibri" w:hAnsi="Arial" w:cs="Arial"/>
          <w:b/>
          <w:lang w:val="en-US"/>
        </w:rPr>
        <w:t>ION</w:t>
      </w:r>
    </w:p>
    <w:p w:rsidR="00653022" w:rsidRPr="004A4A9E" w:rsidRDefault="00E73C58" w:rsidP="004A4A9E">
      <w:pPr>
        <w:pStyle w:val="Pr-formataoHTML"/>
        <w:shd w:val="clear" w:color="auto" w:fill="FFFFFF"/>
        <w:tabs>
          <w:tab w:val="clear" w:pos="916"/>
          <w:tab w:val="left" w:pos="709"/>
        </w:tabs>
        <w:spacing w:line="480" w:lineRule="auto"/>
        <w:jc w:val="both"/>
        <w:rPr>
          <w:rFonts w:ascii="Arial" w:hAnsi="Arial" w:cs="Arial"/>
          <w:color w:val="212121"/>
          <w:sz w:val="24"/>
          <w:szCs w:val="24"/>
          <w:lang w:val="en-US"/>
        </w:rPr>
      </w:pPr>
      <w:r w:rsidRPr="004A4A9E">
        <w:rPr>
          <w:rFonts w:ascii="Arial" w:eastAsia="Calibri" w:hAnsi="Arial" w:cs="Arial"/>
          <w:b/>
          <w:sz w:val="24"/>
          <w:szCs w:val="24"/>
          <w:lang w:val="en-US"/>
        </w:rPr>
        <w:tab/>
      </w:r>
      <w:r w:rsidR="00653022" w:rsidRPr="004A4A9E">
        <w:rPr>
          <w:rFonts w:ascii="Arial" w:hAnsi="Arial" w:cs="Arial"/>
          <w:color w:val="212121"/>
          <w:sz w:val="24"/>
          <w:szCs w:val="24"/>
          <w:lang w:val="en"/>
        </w:rPr>
        <w:t>In many orthodontic treatments, proper anchor planning is imperative for the success of the proposed therapy. Dental intrusion, either for the correction of excessive overbite or anterior open bite, or for the correction of extruded teeth by the lack of antagonists, represents a great mechanical challenge due to the difficulty of controlling undesirable movements in the anchoring units. Obviously, over the years, the literature has indicated satisfactory results with the use of extra auxiliary devices and intraoral. However, it is not always easy to obtain from the patient the necessary collaboration, the physical and / or aesthetic discomfort that these devices can cause</w:t>
      </w:r>
      <w:r w:rsidR="00221EBB">
        <w:rPr>
          <w:rFonts w:ascii="Arial" w:hAnsi="Arial" w:cs="Arial"/>
          <w:color w:val="212121"/>
          <w:sz w:val="24"/>
          <w:szCs w:val="24"/>
          <w:lang w:val="en"/>
        </w:rPr>
        <w:t>[20]</w:t>
      </w:r>
      <w:r w:rsidR="00171178" w:rsidRPr="004A4A9E">
        <w:rPr>
          <w:rFonts w:ascii="Arial" w:hAnsi="Arial" w:cs="Arial"/>
          <w:color w:val="212121"/>
          <w:sz w:val="24"/>
          <w:szCs w:val="24"/>
          <w:lang w:val="en"/>
        </w:rPr>
        <w:t>.</w:t>
      </w:r>
    </w:p>
    <w:p w:rsidR="00DF67AE" w:rsidRPr="004A4A9E" w:rsidRDefault="00143BD4"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r w:rsidRPr="004A4A9E">
        <w:rPr>
          <w:rFonts w:ascii="Arial" w:hAnsi="Arial" w:cs="Arial"/>
          <w:color w:val="212121"/>
          <w:lang w:val="en"/>
        </w:rPr>
        <w:lastRenderedPageBreak/>
        <w:tab/>
        <w:t>In this context, an excellent alternative is the use of mini-implants. Its development, over the last few years, has provided a very efficient anchorage, which eliminates the use of teeth and does not entail any aesthetic compromise, nor does it require any patient collaboration</w:t>
      </w:r>
      <w:r w:rsidR="00221EBB">
        <w:rPr>
          <w:rFonts w:ascii="Arial" w:hAnsi="Arial" w:cs="Arial"/>
          <w:color w:val="212121"/>
          <w:lang w:val="en"/>
        </w:rPr>
        <w:t>[20,21]</w:t>
      </w:r>
      <w:r w:rsidR="00171178" w:rsidRPr="004A4A9E">
        <w:rPr>
          <w:rFonts w:ascii="Arial" w:hAnsi="Arial" w:cs="Arial"/>
          <w:color w:val="212121"/>
          <w:lang w:val="en"/>
        </w:rPr>
        <w:t>.</w:t>
      </w:r>
      <w:r w:rsidRPr="004A4A9E">
        <w:rPr>
          <w:rFonts w:ascii="Arial" w:hAnsi="Arial" w:cs="Arial"/>
          <w:color w:val="212121"/>
          <w:lang w:val="en"/>
        </w:rPr>
        <w:t xml:space="preserve"> </w:t>
      </w:r>
    </w:p>
    <w:p w:rsidR="00143BD4" w:rsidRDefault="00171178"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r w:rsidRPr="004A4A9E">
        <w:rPr>
          <w:rFonts w:ascii="Arial" w:hAnsi="Arial" w:cs="Arial"/>
          <w:color w:val="212121"/>
          <w:lang w:val="en"/>
        </w:rPr>
        <w:tab/>
      </w:r>
      <w:r w:rsidR="00143BD4" w:rsidRPr="004A4A9E">
        <w:rPr>
          <w:rFonts w:ascii="Arial" w:hAnsi="Arial" w:cs="Arial"/>
          <w:color w:val="212121"/>
          <w:lang w:val="en"/>
        </w:rPr>
        <w:t>This resource has been used more and more frequently in the orthodontic clinic when there are not enough dental units to promote effective anchoring or simply to make the mechanics less complex and more predictable for the orthodontist</w:t>
      </w:r>
      <w:r w:rsidR="00221EBB">
        <w:rPr>
          <w:rFonts w:ascii="Arial" w:hAnsi="Arial" w:cs="Arial"/>
          <w:color w:val="212121"/>
          <w:lang w:val="en"/>
        </w:rPr>
        <w:t>[21]</w:t>
      </w:r>
      <w:r w:rsidRPr="004A4A9E">
        <w:rPr>
          <w:rFonts w:ascii="Arial" w:hAnsi="Arial" w:cs="Arial"/>
          <w:color w:val="212121"/>
          <w:lang w:val="en"/>
        </w:rPr>
        <w:t>.</w:t>
      </w:r>
    </w:p>
    <w:p w:rsidR="008E51FA" w:rsidRDefault="0058778F" w:rsidP="0058778F">
      <w:pPr>
        <w:autoSpaceDE w:val="0"/>
        <w:autoSpaceDN w:val="0"/>
        <w:adjustRightInd w:val="0"/>
        <w:spacing w:line="480" w:lineRule="auto"/>
        <w:jc w:val="both"/>
        <w:rPr>
          <w:rFonts w:ascii="Arial" w:hAnsi="Arial" w:cs="Arial"/>
          <w:color w:val="212121"/>
          <w:highlight w:val="yellow"/>
          <w:lang w:val="en"/>
        </w:rPr>
      </w:pPr>
      <w:r>
        <w:rPr>
          <w:rFonts w:ascii="Arial" w:hAnsi="Arial" w:cs="Arial"/>
          <w:color w:val="212121"/>
          <w:lang w:val="en"/>
        </w:rPr>
        <w:tab/>
      </w:r>
      <w:r w:rsidRPr="00277687">
        <w:rPr>
          <w:rFonts w:ascii="Arial" w:hAnsi="Arial" w:cs="Arial"/>
          <w:color w:val="212121"/>
          <w:highlight w:val="yellow"/>
          <w:lang w:val="en"/>
        </w:rPr>
        <w:t>In the six</w:t>
      </w:r>
      <w:r w:rsidR="008E51FA">
        <w:rPr>
          <w:rFonts w:ascii="Arial" w:hAnsi="Arial" w:cs="Arial"/>
          <w:color w:val="212121"/>
          <w:highlight w:val="yellow"/>
          <w:lang w:val="en"/>
        </w:rPr>
        <w:t xml:space="preserve"> </w:t>
      </w:r>
      <w:r w:rsidRPr="00277687">
        <w:rPr>
          <w:rFonts w:ascii="Arial" w:hAnsi="Arial" w:cs="Arial"/>
          <w:color w:val="212121"/>
          <w:highlight w:val="yellow"/>
          <w:lang w:val="en"/>
        </w:rPr>
        <w:t>studies</w:t>
      </w:r>
      <w:r w:rsidR="00057AF9">
        <w:rPr>
          <w:rFonts w:ascii="Arial" w:hAnsi="Arial" w:cs="Arial"/>
          <w:color w:val="212121"/>
          <w:highlight w:val="yellow"/>
          <w:lang w:val="en"/>
        </w:rPr>
        <w:t xml:space="preserve"> </w:t>
      </w:r>
      <w:r w:rsidRPr="00277687">
        <w:rPr>
          <w:rFonts w:ascii="Arial" w:hAnsi="Arial" w:cs="Arial"/>
          <w:color w:val="212121"/>
          <w:highlight w:val="yellow"/>
          <w:lang w:val="en"/>
        </w:rPr>
        <w:t>there was no sample calculation, and the sample selection was performed within the inclusion criteria of each study, as mentioned in the sample characteristic topic</w:t>
      </w:r>
      <w:r w:rsidRPr="0058778F">
        <w:rPr>
          <w:rFonts w:ascii="Arial" w:hAnsi="Arial" w:cs="Arial"/>
          <w:color w:val="212121"/>
          <w:highlight w:val="yellow"/>
          <w:lang w:val="en"/>
        </w:rPr>
        <w:t xml:space="preserve"> </w:t>
      </w:r>
      <w:r w:rsidRPr="00277687">
        <w:rPr>
          <w:rFonts w:ascii="Arial" w:hAnsi="Arial" w:cs="Arial"/>
          <w:color w:val="212121"/>
          <w:highlight w:val="yellow"/>
          <w:lang w:val="en"/>
        </w:rPr>
        <w:t xml:space="preserve">in </w:t>
      </w:r>
      <w:r w:rsidRPr="0058778F">
        <w:rPr>
          <w:rFonts w:ascii="Arial" w:hAnsi="Arial" w:cs="Arial"/>
          <w:color w:val="212121"/>
          <w:highlight w:val="yellow"/>
          <w:lang w:val="en"/>
        </w:rPr>
        <w:t>T</w:t>
      </w:r>
      <w:r w:rsidRPr="00277687">
        <w:rPr>
          <w:rFonts w:ascii="Arial" w:hAnsi="Arial" w:cs="Arial"/>
          <w:color w:val="212121"/>
          <w:highlight w:val="yellow"/>
          <w:lang w:val="en"/>
        </w:rPr>
        <w:t>able 3.</w:t>
      </w:r>
      <w:r w:rsidRPr="0058778F">
        <w:rPr>
          <w:rFonts w:ascii="Arial" w:hAnsi="Arial" w:cs="Arial"/>
          <w:color w:val="212121"/>
          <w:highlight w:val="yellow"/>
          <w:lang w:val="en"/>
        </w:rPr>
        <w:t xml:space="preserve"> Five studies were based in clinical records of treated patients, with the exception of the Foot et al.[17]  study whose patients were selected to be treated</w:t>
      </w:r>
      <w:r w:rsidR="008E51FA">
        <w:rPr>
          <w:rFonts w:ascii="Arial" w:hAnsi="Arial" w:cs="Arial"/>
          <w:color w:val="212121"/>
          <w:highlight w:val="yellow"/>
          <w:lang w:val="en"/>
        </w:rPr>
        <w:t xml:space="preserve"> after the approval of the ethics committee.</w:t>
      </w:r>
    </w:p>
    <w:p w:rsidR="0058778F" w:rsidRPr="008E51FA" w:rsidRDefault="0058778F" w:rsidP="008E51FA">
      <w:pPr>
        <w:autoSpaceDE w:val="0"/>
        <w:autoSpaceDN w:val="0"/>
        <w:adjustRightInd w:val="0"/>
        <w:spacing w:line="480" w:lineRule="auto"/>
        <w:jc w:val="both"/>
        <w:rPr>
          <w:rFonts w:ascii="Arial" w:hAnsi="Arial" w:cs="Arial"/>
          <w:color w:val="212121"/>
          <w:highlight w:val="yellow"/>
          <w:lang w:val="en"/>
        </w:rPr>
      </w:pPr>
      <w:r w:rsidRPr="0058778F">
        <w:rPr>
          <w:rFonts w:ascii="Arial" w:hAnsi="Arial" w:cs="Arial"/>
          <w:color w:val="212121"/>
          <w:highlight w:val="yellow"/>
          <w:lang w:val="en"/>
        </w:rPr>
        <w:t xml:space="preserve"> </w:t>
      </w:r>
      <w:r w:rsidR="008E51FA">
        <w:rPr>
          <w:rFonts w:ascii="Arial" w:hAnsi="Arial" w:cs="Arial"/>
          <w:color w:val="212121"/>
          <w:highlight w:val="yellow"/>
          <w:lang w:val="en"/>
        </w:rPr>
        <w:tab/>
      </w:r>
      <w:r w:rsidRPr="0058778F">
        <w:rPr>
          <w:rFonts w:ascii="Arial" w:hAnsi="Arial" w:cs="Arial"/>
          <w:color w:val="212121"/>
          <w:highlight w:val="yellow"/>
          <w:lang w:val="en"/>
        </w:rPr>
        <w:t xml:space="preserve">Regarding the statistical analysis, Lee et al.[16] and Foot et al.[17] used the t test, Baek et al.[14] used ANOVA and </w:t>
      </w:r>
      <w:r w:rsidRPr="0058778F">
        <w:rPr>
          <w:rFonts w:ascii="Arial" w:hAnsi="Arial" w:cs="Arial"/>
          <w:highlight w:val="yellow"/>
          <w:lang w:val="en-US"/>
        </w:rPr>
        <w:t>Pearson correlation coefficients. Deguchi et al.[15] selected Mann-Whitney and Wilcoxon tests, Scheffler et al.[18],  an autoregressive correlation test and Hart et al.[19] used Pearson correlation coefficients.</w:t>
      </w:r>
    </w:p>
    <w:p w:rsidR="00143BD4" w:rsidRPr="004A4A9E" w:rsidRDefault="00E73C58" w:rsidP="004A4A9E">
      <w:pPr>
        <w:pStyle w:val="Pr-formataoHTML"/>
        <w:shd w:val="clear" w:color="auto" w:fill="FFFFFF"/>
        <w:tabs>
          <w:tab w:val="clear" w:pos="916"/>
          <w:tab w:val="left" w:pos="709"/>
        </w:tabs>
        <w:spacing w:line="480" w:lineRule="auto"/>
        <w:jc w:val="both"/>
        <w:rPr>
          <w:rFonts w:ascii="Arial" w:hAnsi="Arial" w:cs="Arial"/>
          <w:color w:val="212121"/>
          <w:sz w:val="24"/>
          <w:szCs w:val="24"/>
          <w:lang w:val="en-US"/>
        </w:rPr>
      </w:pPr>
      <w:r w:rsidRPr="004A4A9E">
        <w:rPr>
          <w:rFonts w:ascii="Arial" w:eastAsia="Calibri" w:hAnsi="Arial" w:cs="Arial"/>
          <w:sz w:val="24"/>
          <w:szCs w:val="24"/>
          <w:lang w:val="en-US"/>
        </w:rPr>
        <w:tab/>
      </w:r>
      <w:r w:rsidR="00143BD4" w:rsidRPr="004A4A9E">
        <w:rPr>
          <w:rFonts w:ascii="Arial" w:hAnsi="Arial" w:cs="Arial"/>
          <w:color w:val="212121"/>
          <w:sz w:val="24"/>
          <w:szCs w:val="24"/>
          <w:lang w:val="en"/>
        </w:rPr>
        <w:t>In order to verify the long-term stability of maxillary posterior teeth intrusion using mini-implants aiming at the open bite correction, Baek et al.</w:t>
      </w:r>
      <w:r w:rsidR="00221EBB">
        <w:rPr>
          <w:rFonts w:ascii="Arial" w:hAnsi="Arial" w:cs="Arial"/>
          <w:color w:val="212121"/>
          <w:sz w:val="24"/>
          <w:szCs w:val="24"/>
          <w:lang w:val="en"/>
        </w:rPr>
        <w:t>[14]</w:t>
      </w:r>
      <w:r w:rsidR="00143BD4" w:rsidRPr="004A4A9E">
        <w:rPr>
          <w:rFonts w:ascii="Arial" w:hAnsi="Arial" w:cs="Arial"/>
          <w:color w:val="212121"/>
          <w:sz w:val="24"/>
          <w:szCs w:val="24"/>
          <w:lang w:val="en"/>
        </w:rPr>
        <w:t xml:space="preserve"> carried out a study with 9 participants (1M / 8F) in 2010. As a technique for molar intrusion, two mini-implants were used between the first and second molars (one on each side), a technique similar to that used by Scheffler et al.</w:t>
      </w:r>
      <w:r w:rsidR="00221EBB">
        <w:rPr>
          <w:rFonts w:ascii="Arial" w:hAnsi="Arial" w:cs="Arial"/>
          <w:color w:val="212121"/>
          <w:sz w:val="24"/>
          <w:szCs w:val="24"/>
          <w:lang w:val="en"/>
        </w:rPr>
        <w:t>[18]</w:t>
      </w:r>
      <w:r w:rsidR="00143BD4" w:rsidRPr="004A4A9E">
        <w:rPr>
          <w:rFonts w:ascii="Arial" w:hAnsi="Arial" w:cs="Arial"/>
          <w:color w:val="212121"/>
          <w:sz w:val="24"/>
          <w:szCs w:val="24"/>
          <w:lang w:val="en"/>
        </w:rPr>
        <w:t xml:space="preserve"> in 2014. The mini-implants were used for 5.4 ± 2.4 months for intrusion. Thereafter, the participant group used palatal restraint for 41 ± 5 months. The authors performed four </w:t>
      </w:r>
      <w:r w:rsidR="00143BD4" w:rsidRPr="004A4A9E">
        <w:rPr>
          <w:rFonts w:ascii="Arial" w:hAnsi="Arial" w:cs="Arial"/>
          <w:color w:val="212121"/>
          <w:sz w:val="24"/>
          <w:szCs w:val="24"/>
          <w:lang w:val="en"/>
        </w:rPr>
        <w:lastRenderedPageBreak/>
        <w:t>cephalometric evaluations: before treatment (T1), after treatment (T2), one year after treatment (T3) and three years after treatment (T4). Comparing the obtained data it was possible to observe that the average overbite of the patients in T1 went from -3.91 mm to 1.65 after the treatment. Three years after the treatment (T4), there was recurrence in the overbite of 1.2 mm, and in the molar intrusion of 0.41 mm. Even so, they concluded that favorable dentoskeletal changes were achieved, and the benefits achieved outweighed the small dental relapse. Thus, the use of mini-implants for molar intrusion in the correction of open bite is effective, corroborating with the opinion of other authors</w:t>
      </w:r>
      <w:r w:rsidR="00221EBB">
        <w:rPr>
          <w:rFonts w:ascii="Arial" w:hAnsi="Arial" w:cs="Arial"/>
          <w:color w:val="212121"/>
          <w:sz w:val="24"/>
          <w:szCs w:val="24"/>
          <w:lang w:val="en"/>
        </w:rPr>
        <w:t>[5,10,18]</w:t>
      </w:r>
      <w:r w:rsidR="00171178" w:rsidRPr="004A4A9E">
        <w:rPr>
          <w:rFonts w:ascii="Arial" w:hAnsi="Arial" w:cs="Arial"/>
          <w:color w:val="212121"/>
          <w:sz w:val="24"/>
          <w:szCs w:val="24"/>
          <w:lang w:val="en"/>
        </w:rPr>
        <w:t>.</w:t>
      </w:r>
    </w:p>
    <w:p w:rsidR="00143BD4" w:rsidRPr="004A4A9E" w:rsidRDefault="00E73C58" w:rsidP="004A4A9E">
      <w:pPr>
        <w:pStyle w:val="Pr-formataoHTML"/>
        <w:shd w:val="clear" w:color="auto" w:fill="FFFFFF"/>
        <w:tabs>
          <w:tab w:val="clear" w:pos="916"/>
          <w:tab w:val="left" w:pos="709"/>
        </w:tabs>
        <w:spacing w:line="480" w:lineRule="auto"/>
        <w:jc w:val="both"/>
        <w:rPr>
          <w:rFonts w:ascii="Arial" w:hAnsi="Arial" w:cs="Arial"/>
          <w:color w:val="212121"/>
          <w:sz w:val="24"/>
          <w:szCs w:val="24"/>
          <w:lang w:val="en"/>
        </w:rPr>
      </w:pPr>
      <w:r w:rsidRPr="004A4A9E">
        <w:rPr>
          <w:rFonts w:ascii="Arial" w:hAnsi="Arial" w:cs="Arial"/>
          <w:sz w:val="24"/>
          <w:szCs w:val="24"/>
          <w:lang w:val="en-US"/>
        </w:rPr>
        <w:tab/>
      </w:r>
      <w:r w:rsidR="00143BD4" w:rsidRPr="004A4A9E">
        <w:rPr>
          <w:rFonts w:ascii="Arial" w:hAnsi="Arial" w:cs="Arial"/>
          <w:color w:val="212121"/>
          <w:sz w:val="24"/>
          <w:szCs w:val="24"/>
          <w:lang w:val="en"/>
        </w:rPr>
        <w:t>Like Baek et al.</w:t>
      </w:r>
      <w:r w:rsidR="00221EBB">
        <w:rPr>
          <w:rFonts w:ascii="Arial" w:hAnsi="Arial" w:cs="Arial"/>
          <w:color w:val="212121"/>
          <w:sz w:val="24"/>
          <w:szCs w:val="24"/>
          <w:lang w:val="en"/>
        </w:rPr>
        <w:t>[14]</w:t>
      </w:r>
      <w:r w:rsidR="00143BD4" w:rsidRPr="004A4A9E">
        <w:rPr>
          <w:rFonts w:ascii="Arial" w:hAnsi="Arial" w:cs="Arial"/>
          <w:color w:val="212121"/>
          <w:sz w:val="24"/>
          <w:szCs w:val="24"/>
          <w:lang w:val="en"/>
        </w:rPr>
        <w:t xml:space="preserve"> in 2010, Hart et al.</w:t>
      </w:r>
      <w:r w:rsidR="00221EBB">
        <w:rPr>
          <w:rFonts w:ascii="Arial" w:hAnsi="Arial" w:cs="Arial"/>
          <w:color w:val="212121"/>
          <w:sz w:val="24"/>
          <w:szCs w:val="24"/>
          <w:lang w:val="en"/>
        </w:rPr>
        <w:t>[19]</w:t>
      </w:r>
      <w:r w:rsidR="00143BD4" w:rsidRPr="004A4A9E">
        <w:rPr>
          <w:rFonts w:ascii="Arial" w:hAnsi="Arial" w:cs="Arial"/>
          <w:color w:val="212121"/>
          <w:sz w:val="24"/>
          <w:szCs w:val="24"/>
          <w:lang w:val="en"/>
        </w:rPr>
        <w:t xml:space="preserve"> in 2015, also used the cephalometric exam to evaluate the dentoskeletal changes achieved with the intrusion of the posterior maxillary teeth, using mini-implants as an anchorage. </w:t>
      </w:r>
      <w:r w:rsidR="00AF1497" w:rsidRPr="004A4A9E">
        <w:rPr>
          <w:rFonts w:ascii="Arial" w:hAnsi="Arial" w:cs="Arial"/>
          <w:color w:val="212121"/>
          <w:sz w:val="24"/>
          <w:szCs w:val="24"/>
          <w:lang w:val="en"/>
        </w:rPr>
        <w:t>Their</w:t>
      </w:r>
      <w:r w:rsidR="00143BD4" w:rsidRPr="004A4A9E">
        <w:rPr>
          <w:rFonts w:ascii="Arial" w:hAnsi="Arial" w:cs="Arial"/>
          <w:color w:val="212121"/>
          <w:sz w:val="24"/>
          <w:szCs w:val="24"/>
          <w:lang w:val="en"/>
        </w:rPr>
        <w:t xml:space="preserve"> group was 31 participants (21F / 10M), aged 18.3 to 31.1 years. Two mini-implants between the first and second molars were inserted through the palatine, where they remained intruded for 5.4 ± 2.4 (months). Cephalometric examinations were performed prior to initiation of treatment and after completion for comparison. The most significant data showed dental intrusion of the first molars (mean 2.39 mm in 90% of patients) and second molars (mean of 1.65 mm in 77% of patients). Post-treatment extrusion was also observed, but, like other authors</w:t>
      </w:r>
      <w:r w:rsidR="00221EBB">
        <w:rPr>
          <w:rFonts w:ascii="Arial" w:hAnsi="Arial" w:cs="Arial"/>
          <w:color w:val="212121"/>
          <w:sz w:val="24"/>
          <w:szCs w:val="24"/>
          <w:lang w:val="en"/>
        </w:rPr>
        <w:t>[10,14,18]</w:t>
      </w:r>
      <w:r w:rsidR="00143BD4" w:rsidRPr="004A4A9E">
        <w:rPr>
          <w:rFonts w:ascii="Arial" w:hAnsi="Arial" w:cs="Arial"/>
          <w:color w:val="212121"/>
          <w:sz w:val="24"/>
          <w:szCs w:val="24"/>
          <w:lang w:val="en"/>
        </w:rPr>
        <w:t>, concluded that orthodontic mini-implants provide adequate skeletal anchorage for the postero-superior molar intrusion in MA patients with overbite of patients improved in 97% of treated cases.</w:t>
      </w:r>
    </w:p>
    <w:p w:rsidR="00143BD4" w:rsidRPr="004A4A9E" w:rsidRDefault="00AF1497"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4A4A9E">
        <w:rPr>
          <w:rFonts w:ascii="Arial" w:hAnsi="Arial" w:cs="Arial"/>
          <w:color w:val="212121"/>
          <w:lang w:val="en"/>
        </w:rPr>
        <w:tab/>
      </w:r>
      <w:r w:rsidR="00143BD4" w:rsidRPr="004A4A9E">
        <w:rPr>
          <w:rFonts w:ascii="Arial" w:hAnsi="Arial" w:cs="Arial"/>
          <w:color w:val="212121"/>
          <w:lang w:val="en"/>
        </w:rPr>
        <w:t>In their study, Lee et al</w:t>
      </w:r>
      <w:r w:rsidRPr="004A4A9E">
        <w:rPr>
          <w:rFonts w:ascii="Arial" w:hAnsi="Arial" w:cs="Arial"/>
          <w:color w:val="212121"/>
          <w:lang w:val="en"/>
        </w:rPr>
        <w:t>.</w:t>
      </w:r>
      <w:r w:rsidR="00221EBB">
        <w:rPr>
          <w:rFonts w:ascii="Arial" w:hAnsi="Arial" w:cs="Arial"/>
          <w:color w:val="212121"/>
          <w:lang w:val="en"/>
        </w:rPr>
        <w:t>[16]</w:t>
      </w:r>
      <w:r w:rsidR="00143BD4" w:rsidRPr="004A4A9E">
        <w:rPr>
          <w:rFonts w:ascii="Arial" w:hAnsi="Arial" w:cs="Arial"/>
          <w:color w:val="212121"/>
          <w:lang w:val="en"/>
        </w:rPr>
        <w:t xml:space="preserve"> in 2013, tested two methods for upper molar intrusion. The 28 participants of group A (6M / 22F), with a mean age of 19.6 ± 7.3, received the extra oral high pull associated with the palatal arch and the </w:t>
      </w:r>
      <w:r w:rsidR="00143BD4" w:rsidRPr="004A4A9E">
        <w:rPr>
          <w:rFonts w:ascii="Arial" w:hAnsi="Arial" w:cs="Arial"/>
          <w:color w:val="212121"/>
          <w:lang w:val="en"/>
        </w:rPr>
        <w:lastRenderedPageBreak/>
        <w:t>intermaxillary elastic arch, while group B, composed of 23 (M) participants with a mean age of 21.5 ± 6.19, received two mini-implants in the medial palatine suture. The two groups had MAA ≥ 2mm. Group A reached, on average, 0.71 mm of molar intrusion, while in group B the molars intruded 1.30 mm, on average. There were 0.59 mm of difference between the two methods that corroborate with other studies</w:t>
      </w:r>
      <w:r w:rsidR="00221EBB">
        <w:rPr>
          <w:rFonts w:ascii="Arial" w:hAnsi="Arial" w:cs="Arial"/>
          <w:color w:val="212121"/>
          <w:lang w:val="en"/>
        </w:rPr>
        <w:t>[14,19-23]</w:t>
      </w:r>
      <w:r w:rsidR="00143BD4" w:rsidRPr="004A4A9E">
        <w:rPr>
          <w:rFonts w:ascii="Arial" w:hAnsi="Arial" w:cs="Arial"/>
          <w:color w:val="212121"/>
          <w:vertAlign w:val="superscript"/>
          <w:lang w:val="en"/>
        </w:rPr>
        <w:t xml:space="preserve"> </w:t>
      </w:r>
      <w:r w:rsidR="00143BD4" w:rsidRPr="004A4A9E">
        <w:rPr>
          <w:rFonts w:ascii="Arial" w:hAnsi="Arial" w:cs="Arial"/>
          <w:color w:val="212121"/>
          <w:lang w:val="en"/>
        </w:rPr>
        <w:t>on the effectiveness of the intrusion obtained with mini-implants for MA correction.</w:t>
      </w:r>
    </w:p>
    <w:p w:rsidR="00143BD4" w:rsidRPr="004A4A9E" w:rsidRDefault="00E73C58" w:rsidP="004A4A9E">
      <w:pPr>
        <w:pStyle w:val="Pr-formataoHTML"/>
        <w:shd w:val="clear" w:color="auto" w:fill="FFFFFF"/>
        <w:tabs>
          <w:tab w:val="clear" w:pos="916"/>
          <w:tab w:val="left" w:pos="709"/>
        </w:tabs>
        <w:spacing w:line="480" w:lineRule="auto"/>
        <w:jc w:val="both"/>
        <w:rPr>
          <w:rFonts w:ascii="Arial" w:hAnsi="Arial" w:cs="Arial"/>
          <w:color w:val="212121"/>
          <w:sz w:val="24"/>
          <w:szCs w:val="24"/>
          <w:lang w:val="en"/>
        </w:rPr>
      </w:pPr>
      <w:r w:rsidRPr="004A4A9E">
        <w:rPr>
          <w:rFonts w:ascii="Arial" w:hAnsi="Arial" w:cs="Arial"/>
          <w:sz w:val="24"/>
          <w:szCs w:val="24"/>
          <w:lang w:val="en-US"/>
        </w:rPr>
        <w:tab/>
      </w:r>
      <w:r w:rsidR="00143BD4" w:rsidRPr="004A4A9E">
        <w:rPr>
          <w:rFonts w:ascii="Arial" w:hAnsi="Arial" w:cs="Arial"/>
          <w:color w:val="212121"/>
          <w:sz w:val="24"/>
          <w:szCs w:val="24"/>
          <w:lang w:val="en"/>
        </w:rPr>
        <w:t>Deguchi et al</w:t>
      </w:r>
      <w:r w:rsidR="00AF1497" w:rsidRPr="004A4A9E">
        <w:rPr>
          <w:rFonts w:ascii="Arial" w:hAnsi="Arial" w:cs="Arial"/>
          <w:color w:val="212121"/>
          <w:sz w:val="24"/>
          <w:szCs w:val="24"/>
          <w:lang w:val="en"/>
        </w:rPr>
        <w:t>.</w:t>
      </w:r>
      <w:r w:rsidR="00221EBB">
        <w:rPr>
          <w:rFonts w:ascii="Arial" w:hAnsi="Arial" w:cs="Arial"/>
          <w:color w:val="212121"/>
          <w:sz w:val="24"/>
          <w:szCs w:val="24"/>
          <w:lang w:val="en"/>
        </w:rPr>
        <w:t>[15]</w:t>
      </w:r>
      <w:r w:rsidR="00143BD4" w:rsidRPr="004A4A9E">
        <w:rPr>
          <w:rFonts w:ascii="Arial" w:hAnsi="Arial" w:cs="Arial"/>
          <w:color w:val="212121"/>
          <w:sz w:val="24"/>
          <w:szCs w:val="24"/>
          <w:lang w:val="en"/>
        </w:rPr>
        <w:t>, in 2011, also performed a comparative study such as Lee et al</w:t>
      </w:r>
      <w:r w:rsidR="00DF67AE" w:rsidRPr="004A4A9E">
        <w:rPr>
          <w:rFonts w:ascii="Arial" w:hAnsi="Arial" w:cs="Arial"/>
          <w:color w:val="212121"/>
          <w:sz w:val="24"/>
          <w:szCs w:val="24"/>
          <w:lang w:val="en"/>
        </w:rPr>
        <w:t>.</w:t>
      </w:r>
      <w:r w:rsidR="00221EBB">
        <w:rPr>
          <w:rFonts w:ascii="Arial" w:hAnsi="Arial" w:cs="Arial"/>
          <w:color w:val="212121"/>
          <w:sz w:val="24"/>
          <w:szCs w:val="24"/>
          <w:lang w:val="en"/>
        </w:rPr>
        <w:t>[16]</w:t>
      </w:r>
      <w:r w:rsidR="00143BD4" w:rsidRPr="004A4A9E">
        <w:rPr>
          <w:rFonts w:ascii="Arial" w:hAnsi="Arial" w:cs="Arial"/>
          <w:color w:val="212121"/>
          <w:sz w:val="24"/>
          <w:szCs w:val="24"/>
          <w:lang w:val="en"/>
        </w:rPr>
        <w:t xml:space="preserve">, differentiating by the fact that the mini-implants were placed in the </w:t>
      </w:r>
      <w:r w:rsidR="00AF1497" w:rsidRPr="004A4A9E">
        <w:rPr>
          <w:rFonts w:ascii="Arial" w:hAnsi="Arial" w:cs="Arial"/>
          <w:color w:val="212121"/>
          <w:sz w:val="24"/>
          <w:szCs w:val="24"/>
          <w:lang w:val="en"/>
        </w:rPr>
        <w:t>alveolar process by vestibular</w:t>
      </w:r>
      <w:r w:rsidR="00143BD4" w:rsidRPr="004A4A9E">
        <w:rPr>
          <w:rFonts w:ascii="Arial" w:hAnsi="Arial" w:cs="Arial"/>
          <w:color w:val="212121"/>
          <w:sz w:val="24"/>
          <w:szCs w:val="24"/>
          <w:lang w:val="en"/>
        </w:rPr>
        <w:t>, emphasizing greater intrusion of the upper molars in the group that used mini-implants, but without measuring it.</w:t>
      </w:r>
    </w:p>
    <w:p w:rsidR="00FF6102" w:rsidRPr="004A4A9E" w:rsidRDefault="00AF1497"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r w:rsidRPr="004A4A9E">
        <w:rPr>
          <w:rFonts w:ascii="Arial" w:hAnsi="Arial" w:cs="Arial"/>
          <w:color w:val="212121"/>
          <w:lang w:val="en"/>
        </w:rPr>
        <w:tab/>
      </w:r>
      <w:r w:rsidR="00143BD4" w:rsidRPr="004A4A9E">
        <w:rPr>
          <w:rFonts w:ascii="Arial" w:hAnsi="Arial" w:cs="Arial"/>
          <w:color w:val="212121"/>
          <w:lang w:val="en"/>
        </w:rPr>
        <w:t>Foot et al</w:t>
      </w:r>
      <w:r w:rsidRPr="004A4A9E">
        <w:rPr>
          <w:rFonts w:ascii="Arial" w:hAnsi="Arial" w:cs="Arial"/>
          <w:color w:val="212121"/>
          <w:lang w:val="en"/>
        </w:rPr>
        <w:t>.</w:t>
      </w:r>
      <w:r w:rsidR="00221EBB">
        <w:rPr>
          <w:rFonts w:ascii="Arial" w:hAnsi="Arial" w:cs="Arial"/>
          <w:color w:val="212121"/>
          <w:lang w:val="en"/>
        </w:rPr>
        <w:t>[17]</w:t>
      </w:r>
      <w:r w:rsidR="00633D38" w:rsidRPr="004A4A9E">
        <w:rPr>
          <w:rFonts w:ascii="Arial" w:hAnsi="Arial" w:cs="Arial"/>
          <w:color w:val="212121"/>
          <w:lang w:val="en"/>
        </w:rPr>
        <w:t xml:space="preserve"> in 2014</w:t>
      </w:r>
      <w:r w:rsidR="00143BD4" w:rsidRPr="004A4A9E">
        <w:rPr>
          <w:rFonts w:ascii="Arial" w:hAnsi="Arial" w:cs="Arial"/>
          <w:color w:val="212121"/>
          <w:lang w:val="en"/>
        </w:rPr>
        <w:t xml:space="preserve"> and Hart et al</w:t>
      </w:r>
      <w:r w:rsidRPr="004A4A9E">
        <w:rPr>
          <w:rFonts w:ascii="Arial" w:hAnsi="Arial" w:cs="Arial"/>
          <w:color w:val="212121"/>
          <w:lang w:val="en"/>
        </w:rPr>
        <w:t>.</w:t>
      </w:r>
      <w:r w:rsidR="00221EBB">
        <w:rPr>
          <w:rFonts w:ascii="Arial" w:hAnsi="Arial" w:cs="Arial"/>
          <w:color w:val="212121"/>
          <w:lang w:val="en"/>
        </w:rPr>
        <w:t>[19]</w:t>
      </w:r>
      <w:r w:rsidR="00143BD4" w:rsidRPr="004A4A9E">
        <w:rPr>
          <w:rFonts w:ascii="Arial" w:hAnsi="Arial" w:cs="Arial"/>
          <w:color w:val="212121"/>
          <w:lang w:val="en"/>
        </w:rPr>
        <w:t xml:space="preserve"> </w:t>
      </w:r>
      <w:r w:rsidR="00633D38" w:rsidRPr="004A4A9E">
        <w:rPr>
          <w:rFonts w:ascii="Arial" w:hAnsi="Arial" w:cs="Arial"/>
          <w:color w:val="212121"/>
          <w:lang w:val="en"/>
        </w:rPr>
        <w:t xml:space="preserve">in </w:t>
      </w:r>
      <w:r w:rsidR="00143BD4" w:rsidRPr="004A4A9E">
        <w:rPr>
          <w:rFonts w:ascii="Arial" w:hAnsi="Arial" w:cs="Arial"/>
          <w:color w:val="212121"/>
          <w:lang w:val="en"/>
        </w:rPr>
        <w:t>2015</w:t>
      </w:r>
      <w:r w:rsidR="00633D38" w:rsidRPr="004A4A9E">
        <w:rPr>
          <w:rFonts w:ascii="Arial" w:hAnsi="Arial" w:cs="Arial"/>
          <w:color w:val="212121"/>
          <w:lang w:val="en"/>
        </w:rPr>
        <w:t xml:space="preserve">, </w:t>
      </w:r>
      <w:r w:rsidR="00143BD4" w:rsidRPr="004A4A9E">
        <w:rPr>
          <w:rFonts w:ascii="Arial" w:hAnsi="Arial" w:cs="Arial"/>
          <w:color w:val="212121"/>
          <w:lang w:val="en"/>
        </w:rPr>
        <w:t xml:space="preserve">even though they did not present a control group, found approximate values ​​of intrusion of the maxillary molars with mini-implants in the </w:t>
      </w:r>
      <w:r w:rsidRPr="004A4A9E">
        <w:rPr>
          <w:rFonts w:ascii="Arial" w:hAnsi="Arial" w:cs="Arial"/>
          <w:color w:val="212121"/>
          <w:lang w:val="en"/>
        </w:rPr>
        <w:t>alveolar process by vestibular</w:t>
      </w:r>
      <w:r w:rsidR="00633D38" w:rsidRPr="004A4A9E">
        <w:rPr>
          <w:rFonts w:ascii="Arial" w:hAnsi="Arial" w:cs="Arial"/>
          <w:color w:val="212121"/>
          <w:lang w:val="en"/>
        </w:rPr>
        <w:t xml:space="preserve">, </w:t>
      </w:r>
      <w:r w:rsidR="00143BD4" w:rsidRPr="004A4A9E">
        <w:rPr>
          <w:rFonts w:ascii="Arial" w:hAnsi="Arial" w:cs="Arial"/>
          <w:color w:val="212121"/>
          <w:lang w:val="en"/>
        </w:rPr>
        <w:t>even though they diverged</w:t>
      </w:r>
      <w:r w:rsidR="00633D38" w:rsidRPr="004A4A9E">
        <w:rPr>
          <w:rFonts w:ascii="Arial" w:hAnsi="Arial" w:cs="Arial"/>
          <w:color w:val="212121"/>
          <w:lang w:val="en"/>
        </w:rPr>
        <w:t xml:space="preserve"> </w:t>
      </w:r>
      <w:r w:rsidR="00FF6102" w:rsidRPr="004A4A9E">
        <w:rPr>
          <w:rFonts w:ascii="Arial" w:hAnsi="Arial" w:cs="Arial"/>
          <w:color w:val="212121"/>
          <w:lang w:val="en"/>
        </w:rPr>
        <w:t>in the amount used. The efficacy of upper molar intrusion in MA treatment also was observed in other studies</w:t>
      </w:r>
      <w:r w:rsidR="00221EBB">
        <w:rPr>
          <w:rFonts w:ascii="Arial" w:hAnsi="Arial" w:cs="Arial"/>
          <w:color w:val="212121"/>
          <w:lang w:val="en"/>
        </w:rPr>
        <w:t>[1-6,9,14,15,18,23,24]</w:t>
      </w:r>
      <w:r w:rsidR="00FF6102" w:rsidRPr="004A4A9E">
        <w:rPr>
          <w:rFonts w:ascii="Arial" w:hAnsi="Arial" w:cs="Arial"/>
          <w:color w:val="212121"/>
          <w:lang w:val="en"/>
        </w:rPr>
        <w:t>, who</w:t>
      </w:r>
      <w:r w:rsidR="00143BD4" w:rsidRPr="004A4A9E">
        <w:rPr>
          <w:rFonts w:ascii="Arial" w:hAnsi="Arial" w:cs="Arial"/>
          <w:color w:val="212121"/>
          <w:lang w:val="en"/>
        </w:rPr>
        <w:t xml:space="preserve"> found approximate values</w:t>
      </w:r>
      <w:r w:rsidR="00FF6102" w:rsidRPr="004A4A9E">
        <w:rPr>
          <w:rFonts w:ascii="Arial" w:hAnsi="Arial" w:cs="Arial"/>
          <w:color w:val="212121"/>
          <w:lang w:val="en"/>
        </w:rPr>
        <w:t>.</w:t>
      </w:r>
    </w:p>
    <w:p w:rsidR="00143BD4" w:rsidRDefault="00FF6102"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r w:rsidRPr="004A4A9E">
        <w:rPr>
          <w:rFonts w:ascii="Arial" w:hAnsi="Arial" w:cs="Arial"/>
          <w:color w:val="212121"/>
          <w:lang w:val="en"/>
        </w:rPr>
        <w:tab/>
      </w:r>
      <w:r w:rsidR="00143BD4" w:rsidRPr="004A4A9E">
        <w:rPr>
          <w:rFonts w:ascii="Arial" w:hAnsi="Arial" w:cs="Arial"/>
          <w:color w:val="212121"/>
          <w:lang w:val="en"/>
        </w:rPr>
        <w:t>In the maxilla, on the option of intrusion of the posterior teeth instead of extruding the anterior teeth, some authors</w:t>
      </w:r>
      <w:r w:rsidR="00221EBB">
        <w:rPr>
          <w:rFonts w:ascii="Arial" w:hAnsi="Arial" w:cs="Arial"/>
          <w:color w:val="212121"/>
          <w:lang w:val="en"/>
        </w:rPr>
        <w:t>[4,8,24,25]</w:t>
      </w:r>
      <w:r w:rsidR="00143BD4" w:rsidRPr="004A4A9E">
        <w:rPr>
          <w:rFonts w:ascii="Arial" w:hAnsi="Arial" w:cs="Arial"/>
          <w:color w:val="212121"/>
          <w:lang w:val="en"/>
        </w:rPr>
        <w:t xml:space="preserve"> stated that intrusion is a more stable and simple movement to achieve, promoting the dentoskeletal changes necessary for the correction of BAD. In other studies</w:t>
      </w:r>
      <w:r w:rsidR="00221EBB">
        <w:rPr>
          <w:rFonts w:ascii="Arial" w:hAnsi="Arial" w:cs="Arial"/>
          <w:color w:val="212121"/>
          <w:lang w:val="en"/>
        </w:rPr>
        <w:t xml:space="preserve">[4,5,19] </w:t>
      </w:r>
      <w:r w:rsidR="00143BD4" w:rsidRPr="004A4A9E">
        <w:rPr>
          <w:rFonts w:ascii="Arial" w:hAnsi="Arial" w:cs="Arial"/>
          <w:color w:val="212121"/>
          <w:vertAlign w:val="superscript"/>
          <w:lang w:val="en"/>
        </w:rPr>
        <w:t xml:space="preserve"> </w:t>
      </w:r>
      <w:r w:rsidR="00143BD4" w:rsidRPr="004A4A9E">
        <w:rPr>
          <w:rFonts w:ascii="Arial" w:hAnsi="Arial" w:cs="Arial"/>
          <w:color w:val="212121"/>
          <w:lang w:val="en"/>
        </w:rPr>
        <w:t>the authors were unanimous in affirming that the result obtained in the treatment of MMA with the use of mini-implants resembles the results obtained with orthognathic surgery.</w:t>
      </w:r>
    </w:p>
    <w:p w:rsidR="00221EBB" w:rsidRDefault="00221EBB"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p>
    <w:p w:rsidR="00221EBB" w:rsidRPr="00221EBB" w:rsidRDefault="00221EBB"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
          <w:color w:val="212121"/>
          <w:lang w:val="en-US"/>
        </w:rPr>
      </w:pPr>
      <w:r w:rsidRPr="00221EBB">
        <w:rPr>
          <w:rFonts w:ascii="Arial" w:hAnsi="Arial" w:cs="Arial"/>
          <w:b/>
          <w:color w:val="212121"/>
          <w:lang w:val="en"/>
        </w:rPr>
        <w:lastRenderedPageBreak/>
        <w:t>CONCLUSION</w:t>
      </w:r>
    </w:p>
    <w:p w:rsidR="00143BD4" w:rsidRPr="004A4A9E" w:rsidRDefault="00E73C58" w:rsidP="004A4A9E">
      <w:pPr>
        <w:pStyle w:val="Pr-formataoHTML"/>
        <w:shd w:val="clear" w:color="auto" w:fill="FFFFFF"/>
        <w:tabs>
          <w:tab w:val="clear" w:pos="916"/>
          <w:tab w:val="left" w:pos="709"/>
        </w:tabs>
        <w:spacing w:line="480" w:lineRule="auto"/>
        <w:jc w:val="both"/>
        <w:rPr>
          <w:rFonts w:ascii="Arial" w:hAnsi="Arial" w:cs="Arial"/>
          <w:color w:val="212121"/>
          <w:sz w:val="24"/>
          <w:szCs w:val="24"/>
          <w:lang w:val="en"/>
        </w:rPr>
      </w:pPr>
      <w:r w:rsidRPr="004A4A9E">
        <w:rPr>
          <w:rFonts w:ascii="Arial" w:hAnsi="Arial" w:cs="Arial"/>
          <w:sz w:val="24"/>
          <w:szCs w:val="24"/>
          <w:lang w:val="en-US"/>
        </w:rPr>
        <w:tab/>
      </w:r>
      <w:r w:rsidR="00143BD4" w:rsidRPr="004A4A9E">
        <w:rPr>
          <w:rFonts w:ascii="Arial" w:hAnsi="Arial" w:cs="Arial"/>
          <w:color w:val="212121"/>
          <w:sz w:val="24"/>
          <w:szCs w:val="24"/>
          <w:lang w:val="en"/>
        </w:rPr>
        <w:t>Intrusion of the upper molars with the use of mini-implants as a skeletal anchor is effective for correction of open bite.</w:t>
      </w:r>
    </w:p>
    <w:p w:rsidR="00143BD4" w:rsidRPr="004A4A9E" w:rsidRDefault="00AF1497"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
        </w:rPr>
      </w:pPr>
      <w:r w:rsidRPr="004A4A9E">
        <w:rPr>
          <w:rFonts w:ascii="Arial" w:hAnsi="Arial" w:cs="Arial"/>
          <w:color w:val="212121"/>
          <w:lang w:val="en"/>
        </w:rPr>
        <w:tab/>
      </w:r>
      <w:r w:rsidR="00143BD4" w:rsidRPr="004A4A9E">
        <w:rPr>
          <w:rFonts w:ascii="Arial" w:hAnsi="Arial" w:cs="Arial"/>
          <w:color w:val="212121"/>
          <w:lang w:val="en"/>
        </w:rPr>
        <w:t>When the technique of upper molar intrusion with mini-implants was compared with the technique of posterior high pull and incisor extrusion, the first one was more effective for the correction of open bite.</w:t>
      </w:r>
    </w:p>
    <w:p w:rsidR="00143BD4" w:rsidRPr="004A4A9E" w:rsidRDefault="00AF1497" w:rsidP="004A4A9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r w:rsidRPr="004A4A9E">
        <w:rPr>
          <w:rFonts w:ascii="Arial" w:hAnsi="Arial" w:cs="Arial"/>
          <w:color w:val="212121"/>
          <w:lang w:val="en"/>
        </w:rPr>
        <w:tab/>
      </w:r>
      <w:r w:rsidR="00143BD4" w:rsidRPr="004A4A9E">
        <w:rPr>
          <w:rFonts w:ascii="Arial" w:hAnsi="Arial" w:cs="Arial"/>
          <w:color w:val="212121"/>
          <w:lang w:val="en"/>
        </w:rPr>
        <w:t>The recurrence of molar intrusion does not invalidate mini-implant treatment for open bite correction because the benefits achieved outweigh the small dental relapse.</w:t>
      </w:r>
    </w:p>
    <w:p w:rsidR="00C62B2E" w:rsidRPr="00C62051" w:rsidRDefault="00C62B2E" w:rsidP="004A4A9E">
      <w:pPr>
        <w:spacing w:line="480" w:lineRule="auto"/>
        <w:rPr>
          <w:rFonts w:ascii="Arial" w:hAnsi="Arial" w:cs="Arial"/>
          <w:b/>
          <w:lang w:val="en-US"/>
        </w:rPr>
      </w:pPr>
    </w:p>
    <w:p w:rsidR="00E73C58" w:rsidRPr="004A4A9E" w:rsidRDefault="00E73C58" w:rsidP="004A4A9E">
      <w:pPr>
        <w:spacing w:line="480" w:lineRule="auto"/>
        <w:rPr>
          <w:rFonts w:ascii="Arial" w:hAnsi="Arial" w:cs="Arial"/>
          <w:b/>
        </w:rPr>
      </w:pPr>
      <w:r w:rsidRPr="004A4A9E">
        <w:rPr>
          <w:rFonts w:ascii="Arial" w:hAnsi="Arial" w:cs="Arial"/>
          <w:b/>
        </w:rPr>
        <w:t>REFER</w:t>
      </w:r>
      <w:r w:rsidR="00AF1497" w:rsidRPr="004A4A9E">
        <w:rPr>
          <w:rFonts w:ascii="Arial" w:hAnsi="Arial" w:cs="Arial"/>
          <w:b/>
        </w:rPr>
        <w:t>ENCES</w:t>
      </w:r>
    </w:p>
    <w:p w:rsidR="00015CAE" w:rsidRPr="004A4A9E" w:rsidRDefault="00E73C58" w:rsidP="00221EBB">
      <w:pPr>
        <w:numPr>
          <w:ilvl w:val="0"/>
          <w:numId w:val="1"/>
        </w:numPr>
        <w:shd w:val="clear" w:color="auto" w:fill="FFFFFF"/>
        <w:spacing w:line="480" w:lineRule="auto"/>
        <w:ind w:left="284"/>
        <w:rPr>
          <w:rFonts w:ascii="Arial" w:hAnsi="Arial" w:cs="Arial"/>
          <w:color w:val="212121"/>
          <w:lang w:val="en-US"/>
        </w:rPr>
      </w:pPr>
      <w:r w:rsidRPr="004A4A9E">
        <w:rPr>
          <w:rFonts w:ascii="Arial" w:hAnsi="Arial" w:cs="Arial"/>
          <w:lang w:val="en-US"/>
        </w:rPr>
        <w:t>Mohammed AAl-L, Sakhr AM, Fuad LA, Mohammed M Al-M. Upper Molar Intrusion with Mini-implants to Correct Anterior Skeletal Open Bite: A Case Report.  Journal of International Oral Health</w:t>
      </w:r>
      <w:r w:rsidR="00B81EA3" w:rsidRPr="004A4A9E">
        <w:rPr>
          <w:rFonts w:ascii="Arial" w:hAnsi="Arial" w:cs="Arial"/>
          <w:lang w:val="en-US"/>
        </w:rPr>
        <w:t>.</w:t>
      </w:r>
      <w:r w:rsidRPr="004A4A9E">
        <w:rPr>
          <w:rFonts w:ascii="Arial" w:hAnsi="Arial" w:cs="Arial"/>
          <w:lang w:val="en-US"/>
        </w:rPr>
        <w:t xml:space="preserve"> 2016; 8(12):1132-35.</w:t>
      </w:r>
    </w:p>
    <w:p w:rsidR="00B81EA3" w:rsidRPr="004A4A9E" w:rsidRDefault="00B81EA3" w:rsidP="00221EBB">
      <w:pPr>
        <w:numPr>
          <w:ilvl w:val="0"/>
          <w:numId w:val="1"/>
        </w:numPr>
        <w:spacing w:line="480" w:lineRule="auto"/>
        <w:ind w:left="284"/>
        <w:rPr>
          <w:rFonts w:ascii="Arial" w:hAnsi="Arial" w:cs="Arial"/>
          <w:lang w:val="en-US"/>
        </w:rPr>
      </w:pPr>
      <w:r w:rsidRPr="004A4A9E">
        <w:rPr>
          <w:rFonts w:ascii="Arial" w:hAnsi="Arial" w:cs="Arial"/>
          <w:lang w:val="en-US"/>
        </w:rPr>
        <w:t xml:space="preserve">Farret MMB, Farret MM. </w:t>
      </w:r>
      <w:r w:rsidR="0021510C" w:rsidRPr="004A4A9E">
        <w:rPr>
          <w:rFonts w:ascii="Arial" w:hAnsi="Arial" w:cs="Arial"/>
          <w:lang w:val="en-US"/>
        </w:rPr>
        <w:t>[</w:t>
      </w:r>
      <w:r w:rsidRPr="004A4A9E">
        <w:rPr>
          <w:rFonts w:ascii="Arial" w:hAnsi="Arial" w:cs="Arial"/>
          <w:lang w:val="en-US"/>
        </w:rPr>
        <w:t>Retreatment of skeletal open bite with upper molar intrusion with mini-implants</w:t>
      </w:r>
      <w:r w:rsidR="0021510C" w:rsidRPr="004A4A9E">
        <w:rPr>
          <w:rFonts w:ascii="Arial" w:hAnsi="Arial" w:cs="Arial"/>
          <w:lang w:val="en-US"/>
        </w:rPr>
        <w:t>]</w:t>
      </w:r>
      <w:r w:rsidRPr="004A4A9E">
        <w:rPr>
          <w:rFonts w:ascii="Arial" w:hAnsi="Arial" w:cs="Arial"/>
          <w:lang w:val="en-US"/>
        </w:rPr>
        <w:t xml:space="preserve">. Dental Clinic Orthodontic Journal. 2013 Fev/Mar;12(1):61-9. </w:t>
      </w:r>
    </w:p>
    <w:p w:rsidR="00E73C58" w:rsidRPr="004A4A9E" w:rsidRDefault="0021510C" w:rsidP="00221EBB">
      <w:pPr>
        <w:numPr>
          <w:ilvl w:val="0"/>
          <w:numId w:val="1"/>
        </w:numPr>
        <w:spacing w:line="480" w:lineRule="auto"/>
        <w:ind w:left="284"/>
        <w:rPr>
          <w:rFonts w:ascii="Arial" w:hAnsi="Arial" w:cs="Arial"/>
        </w:rPr>
      </w:pPr>
      <w:r w:rsidRPr="004A4A9E">
        <w:rPr>
          <w:rFonts w:ascii="Arial" w:hAnsi="Arial" w:cs="Arial"/>
          <w:lang w:val="en-US"/>
        </w:rPr>
        <w:t>Salguero AEM, Valverde AS. Correction of a skeletal anterior open bite with m</w:t>
      </w:r>
      <w:r w:rsidR="00614F17" w:rsidRPr="004A4A9E">
        <w:rPr>
          <w:rFonts w:ascii="Arial" w:hAnsi="Arial" w:cs="Arial"/>
          <w:lang w:val="en-US"/>
        </w:rPr>
        <w:t>i</w:t>
      </w:r>
      <w:r w:rsidRPr="004A4A9E">
        <w:rPr>
          <w:rFonts w:ascii="Arial" w:hAnsi="Arial" w:cs="Arial"/>
          <w:lang w:val="en-US"/>
        </w:rPr>
        <w:t xml:space="preserve">ni-screws and a modified bite block.  </w:t>
      </w:r>
      <w:r w:rsidRPr="004A4A9E">
        <w:rPr>
          <w:rFonts w:ascii="Arial" w:hAnsi="Arial" w:cs="Arial"/>
        </w:rPr>
        <w:t xml:space="preserve">Revista Mexicana de Ortodoncia. </w:t>
      </w:r>
      <w:r w:rsidRPr="004A4A9E">
        <w:rPr>
          <w:rFonts w:ascii="Arial" w:hAnsi="Arial" w:cs="Arial"/>
          <w:lang w:val="en-US"/>
        </w:rPr>
        <w:t>2017 Apr-June;5(2):e102-10.</w:t>
      </w:r>
    </w:p>
    <w:p w:rsidR="00E73C58" w:rsidRPr="004A4A9E" w:rsidRDefault="00056314" w:rsidP="00221EBB">
      <w:pPr>
        <w:numPr>
          <w:ilvl w:val="0"/>
          <w:numId w:val="1"/>
        </w:numPr>
        <w:spacing w:line="480" w:lineRule="auto"/>
        <w:ind w:left="283" w:hanging="357"/>
        <w:rPr>
          <w:rFonts w:ascii="Arial" w:hAnsi="Arial" w:cs="Arial"/>
          <w:lang w:val="en-US"/>
        </w:rPr>
      </w:pPr>
      <w:r w:rsidRPr="004A4A9E">
        <w:rPr>
          <w:rFonts w:ascii="Arial" w:hAnsi="Arial" w:cs="Arial"/>
          <w:lang w:val="en-US"/>
        </w:rPr>
        <w:t xml:space="preserve">Paik CH, McComb R, </w:t>
      </w:r>
      <w:r w:rsidR="003A34FA" w:rsidRPr="004A4A9E">
        <w:rPr>
          <w:rFonts w:ascii="Arial" w:hAnsi="Arial" w:cs="Arial"/>
          <w:lang w:val="en-US"/>
        </w:rPr>
        <w:t>Hong C. Diferential molar intrusion with skeletal anchorage in open-bite treatment. J Clin Orthod. 2016 May;50(5):276-89.</w:t>
      </w:r>
    </w:p>
    <w:p w:rsidR="00E73C58" w:rsidRPr="004A4A9E" w:rsidRDefault="00E73C58" w:rsidP="00221EBB">
      <w:pPr>
        <w:numPr>
          <w:ilvl w:val="0"/>
          <w:numId w:val="1"/>
        </w:numPr>
        <w:spacing w:line="480" w:lineRule="auto"/>
        <w:ind w:left="284"/>
        <w:rPr>
          <w:rFonts w:ascii="Arial" w:hAnsi="Arial" w:cs="Arial"/>
        </w:rPr>
      </w:pPr>
      <w:r w:rsidRPr="004A4A9E">
        <w:rPr>
          <w:rFonts w:ascii="Arial" w:hAnsi="Arial" w:cs="Arial"/>
          <w:lang w:val="en-US"/>
        </w:rPr>
        <w:t xml:space="preserve">Park HS, Kwon OW, Sung JH. Nonextraction treatment of an open bite with microscrew implant anchorage. </w:t>
      </w:r>
      <w:r w:rsidRPr="004A4A9E">
        <w:rPr>
          <w:rFonts w:ascii="Arial" w:hAnsi="Arial" w:cs="Arial"/>
        </w:rPr>
        <w:t>Am J Orthod Dentofacial Orthop. 2006 Sep;130(3):391–402.</w:t>
      </w:r>
    </w:p>
    <w:p w:rsidR="00E73C58" w:rsidRPr="004A4A9E" w:rsidRDefault="0021510C" w:rsidP="00221EBB">
      <w:pPr>
        <w:numPr>
          <w:ilvl w:val="0"/>
          <w:numId w:val="1"/>
        </w:numPr>
        <w:spacing w:line="480" w:lineRule="auto"/>
        <w:ind w:left="284"/>
        <w:rPr>
          <w:rFonts w:ascii="Arial" w:hAnsi="Arial" w:cs="Arial"/>
          <w:lang w:val="en-US"/>
        </w:rPr>
      </w:pPr>
      <w:r w:rsidRPr="004A4A9E">
        <w:rPr>
          <w:rFonts w:ascii="Arial" w:hAnsi="Arial" w:cs="Arial"/>
          <w:lang w:val="en-US"/>
        </w:rPr>
        <w:lastRenderedPageBreak/>
        <w:t>Janson G, Laranjeira V, Rizzo M, Garib D. Posterior tooth angulations in patients with anterior open bite and normal occlusion. Am J Orthod Dentofac Orthop. 2016; 150 (1): 71-77. doi:10.1016/j.ajodo.2015.12.016</w:t>
      </w:r>
    </w:p>
    <w:p w:rsidR="00E73C58" w:rsidRPr="004A4A9E" w:rsidRDefault="0021510C" w:rsidP="00221EBB">
      <w:pPr>
        <w:numPr>
          <w:ilvl w:val="0"/>
          <w:numId w:val="1"/>
        </w:numPr>
        <w:spacing w:line="480" w:lineRule="auto"/>
        <w:ind w:left="283" w:hanging="357"/>
        <w:rPr>
          <w:rFonts w:ascii="Arial" w:hAnsi="Arial" w:cs="Arial"/>
          <w:lang w:val="en-US"/>
        </w:rPr>
      </w:pPr>
      <w:r w:rsidRPr="004A4A9E">
        <w:rPr>
          <w:rFonts w:ascii="Arial" w:hAnsi="Arial" w:cs="Arial"/>
          <w:lang w:val="en-US"/>
        </w:rPr>
        <w:t>Sodagar A, Sobouti F, Shahsavari N. Occlusal plane flattening by miniscrew in skeletal open bite: a case report. Caspian J Dent Res 2014; 3:54-9.</w:t>
      </w:r>
    </w:p>
    <w:p w:rsidR="00E73C58" w:rsidRPr="004A4A9E" w:rsidRDefault="00614F17" w:rsidP="00221EBB">
      <w:pPr>
        <w:numPr>
          <w:ilvl w:val="0"/>
          <w:numId w:val="1"/>
        </w:numPr>
        <w:spacing w:line="480" w:lineRule="auto"/>
        <w:ind w:left="283" w:hanging="357"/>
        <w:rPr>
          <w:rFonts w:ascii="Arial" w:hAnsi="Arial" w:cs="Arial"/>
          <w:lang w:val="en-US"/>
        </w:rPr>
      </w:pPr>
      <w:r w:rsidRPr="004A4A9E">
        <w:rPr>
          <w:rStyle w:val="nlmstring-name"/>
          <w:rFonts w:ascii="Arial" w:hAnsi="Arial" w:cs="Arial"/>
          <w:color w:val="000000"/>
          <w:shd w:val="clear" w:color="auto" w:fill="FFFFFF"/>
          <w:lang w:val="en-US"/>
        </w:rPr>
        <w:t>YA Kook</w:t>
      </w:r>
      <w:r w:rsidRPr="004A4A9E">
        <w:rPr>
          <w:rFonts w:ascii="Arial" w:hAnsi="Arial" w:cs="Arial"/>
          <w:color w:val="000000"/>
          <w:shd w:val="clear" w:color="auto" w:fill="FFFFFF"/>
          <w:lang w:val="en-US"/>
        </w:rPr>
        <w:t>, </w:t>
      </w:r>
      <w:r w:rsidRPr="004A4A9E">
        <w:rPr>
          <w:rStyle w:val="nlmstring-name"/>
          <w:rFonts w:ascii="Arial" w:hAnsi="Arial" w:cs="Arial"/>
          <w:color w:val="000000"/>
          <w:shd w:val="clear" w:color="auto" w:fill="FFFFFF"/>
          <w:lang w:val="en-US"/>
        </w:rPr>
        <w:t>JH Park</w:t>
      </w:r>
      <w:r w:rsidRPr="004A4A9E">
        <w:rPr>
          <w:rFonts w:ascii="Arial" w:hAnsi="Arial" w:cs="Arial"/>
          <w:color w:val="000000"/>
          <w:shd w:val="clear" w:color="auto" w:fill="FFFFFF"/>
          <w:lang w:val="en-US"/>
        </w:rPr>
        <w:t>, </w:t>
      </w:r>
      <w:r w:rsidRPr="004A4A9E">
        <w:rPr>
          <w:rStyle w:val="nlmstring-name"/>
          <w:rFonts w:ascii="Arial" w:hAnsi="Arial" w:cs="Arial"/>
          <w:color w:val="000000"/>
          <w:shd w:val="clear" w:color="auto" w:fill="FFFFFF"/>
          <w:lang w:val="en-US"/>
        </w:rPr>
        <w:t>Y Kim</w:t>
      </w:r>
      <w:r w:rsidRPr="004A4A9E">
        <w:rPr>
          <w:rFonts w:ascii="Arial" w:hAnsi="Arial" w:cs="Arial"/>
          <w:color w:val="000000"/>
          <w:shd w:val="clear" w:color="auto" w:fill="FFFFFF"/>
          <w:lang w:val="en-US"/>
        </w:rPr>
        <w:t>, </w:t>
      </w:r>
      <w:r w:rsidRPr="004A4A9E">
        <w:rPr>
          <w:rStyle w:val="nlmstring-name"/>
          <w:rFonts w:ascii="Arial" w:hAnsi="Arial" w:cs="Arial"/>
          <w:color w:val="000000"/>
          <w:shd w:val="clear" w:color="auto" w:fill="FFFFFF"/>
          <w:lang w:val="en-US"/>
        </w:rPr>
        <w:t>CS Ahn</w:t>
      </w:r>
      <w:r w:rsidRPr="004A4A9E">
        <w:rPr>
          <w:rFonts w:ascii="Arial" w:hAnsi="Arial" w:cs="Arial"/>
          <w:color w:val="000000"/>
          <w:shd w:val="clear" w:color="auto" w:fill="FFFFFF"/>
          <w:lang w:val="en-US"/>
        </w:rPr>
        <w:t>, and </w:t>
      </w:r>
      <w:r w:rsidRPr="004A4A9E">
        <w:rPr>
          <w:rStyle w:val="nlmstring-name"/>
          <w:rFonts w:ascii="Arial" w:hAnsi="Arial" w:cs="Arial"/>
          <w:color w:val="000000"/>
          <w:shd w:val="clear" w:color="auto" w:fill="FFFFFF"/>
          <w:lang w:val="en-US"/>
        </w:rPr>
        <w:t>M Bayome</w:t>
      </w:r>
      <w:r w:rsidRPr="004A4A9E">
        <w:rPr>
          <w:rFonts w:ascii="Arial" w:hAnsi="Arial" w:cs="Arial"/>
          <w:color w:val="000000"/>
          <w:shd w:val="clear" w:color="auto" w:fill="FFFFFF"/>
          <w:lang w:val="en-US"/>
        </w:rPr>
        <w:t> (</w:t>
      </w:r>
      <w:r w:rsidRPr="004A4A9E">
        <w:rPr>
          <w:rFonts w:ascii="Arial" w:hAnsi="Arial" w:cs="Arial"/>
          <w:i/>
          <w:iCs/>
          <w:color w:val="000000"/>
          <w:shd w:val="clear" w:color="auto" w:fill="FFFFFF"/>
          <w:lang w:val="en-US"/>
        </w:rPr>
        <w:t>2015</w:t>
      </w:r>
      <w:r w:rsidRPr="004A4A9E">
        <w:rPr>
          <w:rFonts w:ascii="Arial" w:hAnsi="Arial" w:cs="Arial"/>
          <w:color w:val="000000"/>
          <w:shd w:val="clear" w:color="auto" w:fill="FFFFFF"/>
          <w:lang w:val="en-US"/>
        </w:rPr>
        <w:t>) Orthodontic Treatment of Skeletal Class II Adolescent with Anterior Open Bite using Mini-Screws and Modified Palatal Anchorage Plate. Journal of Clinical Pediatric Dentistry: January 2015; 39(2):187-92.</w:t>
      </w:r>
    </w:p>
    <w:p w:rsidR="00E73C58" w:rsidRPr="004A4A9E" w:rsidRDefault="006F5E2F" w:rsidP="00221EBB">
      <w:pPr>
        <w:numPr>
          <w:ilvl w:val="0"/>
          <w:numId w:val="1"/>
        </w:numPr>
        <w:spacing w:line="480" w:lineRule="auto"/>
        <w:ind w:left="284"/>
        <w:rPr>
          <w:rFonts w:ascii="Arial" w:hAnsi="Arial" w:cs="Arial"/>
          <w:lang w:val="en-US"/>
        </w:rPr>
      </w:pPr>
      <w:r w:rsidRPr="004A4A9E">
        <w:rPr>
          <w:rFonts w:ascii="Arial" w:hAnsi="Arial" w:cs="Arial"/>
          <w:lang w:val="en-US"/>
        </w:rPr>
        <w:t>Giancotti A, Germano F, Muzzi F, Greco M. A mini-screw supported intrusion auxiliary for open-bite treatment with invisalign. J Clin Orthod. 2014 Jun;48(6):348-58.</w:t>
      </w:r>
    </w:p>
    <w:p w:rsidR="00E73C58" w:rsidRPr="004A4A9E" w:rsidRDefault="00E73C58" w:rsidP="00221EBB">
      <w:pPr>
        <w:numPr>
          <w:ilvl w:val="0"/>
          <w:numId w:val="1"/>
        </w:numPr>
        <w:spacing w:line="480" w:lineRule="auto"/>
        <w:ind w:left="284"/>
        <w:rPr>
          <w:rFonts w:ascii="Arial" w:hAnsi="Arial" w:cs="Arial"/>
          <w:lang w:val="en-US"/>
        </w:rPr>
      </w:pPr>
      <w:r w:rsidRPr="004A4A9E">
        <w:rPr>
          <w:rFonts w:ascii="Arial" w:hAnsi="Arial" w:cs="Arial"/>
        </w:rPr>
        <w:t xml:space="preserve">Valarelli FP, Celi MVR, Chiqueto KFG, Freitas KMS, Valarelli DP. </w:t>
      </w:r>
      <w:r w:rsidRPr="004A4A9E">
        <w:rPr>
          <w:rFonts w:ascii="Arial" w:eastAsia="Calibri" w:hAnsi="Arial" w:cs="Arial"/>
          <w:lang w:val="en-US"/>
        </w:rPr>
        <w:t>Effectiveness of mini-implants in upper molar intrusion.</w:t>
      </w:r>
      <w:r w:rsidRPr="004A4A9E">
        <w:rPr>
          <w:rFonts w:ascii="Arial" w:hAnsi="Arial" w:cs="Arial"/>
          <w:lang w:val="en-US"/>
        </w:rPr>
        <w:t xml:space="preserve"> Innov Implant J. 2010 Jan/Apr;5(1): 66-71.</w:t>
      </w:r>
    </w:p>
    <w:p w:rsidR="00E73C58" w:rsidRDefault="00E73C58" w:rsidP="00221EBB">
      <w:pPr>
        <w:numPr>
          <w:ilvl w:val="0"/>
          <w:numId w:val="1"/>
        </w:numPr>
        <w:spacing w:line="480" w:lineRule="auto"/>
        <w:ind w:left="284"/>
        <w:rPr>
          <w:rFonts w:ascii="Arial" w:hAnsi="Arial" w:cs="Arial"/>
        </w:rPr>
      </w:pPr>
      <w:r w:rsidRPr="004A4A9E">
        <w:rPr>
          <w:rFonts w:ascii="Arial" w:hAnsi="Arial" w:cs="Arial"/>
          <w:lang w:val="en-US"/>
        </w:rPr>
        <w:t xml:space="preserve">Sherwood KH, Burch JG, Thompson WJ. Closing anterior open bites by intruding molars with titanium miniplate anchorage. </w:t>
      </w:r>
      <w:r w:rsidRPr="004A4A9E">
        <w:rPr>
          <w:rFonts w:ascii="Arial" w:hAnsi="Arial" w:cs="Arial"/>
        </w:rPr>
        <w:t>Am J Orthod Dentofacial Orthop. 2002 Dec;122(6): 593-600.</w:t>
      </w:r>
    </w:p>
    <w:p w:rsidR="00B81CB9" w:rsidRDefault="00B81CB9" w:rsidP="00B81CB9">
      <w:pPr>
        <w:autoSpaceDE w:val="0"/>
        <w:autoSpaceDN w:val="0"/>
        <w:adjustRightInd w:val="0"/>
        <w:spacing w:line="480" w:lineRule="auto"/>
        <w:ind w:left="284" w:hanging="284"/>
        <w:jc w:val="both"/>
        <w:rPr>
          <w:rFonts w:ascii="Arial" w:eastAsiaTheme="minorHAnsi" w:hAnsi="Arial" w:cs="Arial"/>
          <w:lang w:val="en-US" w:eastAsia="en-US"/>
        </w:rPr>
      </w:pPr>
      <w:r>
        <w:rPr>
          <w:rFonts w:ascii="Arial" w:hAnsi="Arial" w:cs="Arial"/>
          <w:lang w:val="en-US"/>
        </w:rPr>
        <w:t>12.</w:t>
      </w:r>
      <w:r w:rsidRPr="00B81CB9">
        <w:rPr>
          <w:rFonts w:ascii="Arial" w:eastAsiaTheme="minorHAnsi" w:hAnsi="Arial" w:cs="Arial"/>
          <w:lang w:val="en-US" w:eastAsia="en-US"/>
        </w:rPr>
        <w:t xml:space="preserve">Alsafadi AS, Alabdullah MM, Saltaji H, Abdo A, Youssef M. Effect of molar </w:t>
      </w:r>
      <w:r w:rsidR="0058778F">
        <w:rPr>
          <w:rFonts w:ascii="Arial" w:eastAsiaTheme="minorHAnsi" w:hAnsi="Arial" w:cs="Arial"/>
          <w:lang w:val="en-US" w:eastAsia="en-US"/>
        </w:rPr>
        <w:t xml:space="preserve">  </w:t>
      </w:r>
      <w:r w:rsidRPr="00B81CB9">
        <w:rPr>
          <w:rFonts w:ascii="Arial" w:eastAsiaTheme="minorHAnsi" w:hAnsi="Arial" w:cs="Arial"/>
          <w:lang w:val="en-US" w:eastAsia="en-US"/>
        </w:rPr>
        <w:t>intrusion with temporary</w:t>
      </w:r>
      <w:r>
        <w:rPr>
          <w:rFonts w:ascii="Arial" w:eastAsiaTheme="minorHAnsi" w:hAnsi="Arial" w:cs="Arial"/>
          <w:lang w:val="en-US" w:eastAsia="en-US"/>
        </w:rPr>
        <w:t xml:space="preserve"> </w:t>
      </w:r>
      <w:r w:rsidRPr="00B81CB9">
        <w:rPr>
          <w:rFonts w:ascii="Arial" w:eastAsiaTheme="minorHAnsi" w:hAnsi="Arial" w:cs="Arial"/>
          <w:lang w:val="en-US" w:eastAsia="en-US"/>
        </w:rPr>
        <w:t>anchorage devices in patients with anterior</w:t>
      </w:r>
      <w:r>
        <w:rPr>
          <w:rFonts w:ascii="Arial" w:eastAsiaTheme="minorHAnsi" w:hAnsi="Arial" w:cs="Arial"/>
          <w:lang w:val="en-US" w:eastAsia="en-US"/>
        </w:rPr>
        <w:t xml:space="preserve"> </w:t>
      </w:r>
      <w:r w:rsidRPr="00B81CB9">
        <w:rPr>
          <w:rFonts w:ascii="Arial" w:eastAsiaTheme="minorHAnsi" w:hAnsi="Arial" w:cs="Arial"/>
          <w:lang w:val="en-US" w:eastAsia="en-US"/>
        </w:rPr>
        <w:t>open bite: a systematic review</w:t>
      </w:r>
      <w:r>
        <w:rPr>
          <w:rFonts w:ascii="Arial" w:eastAsiaTheme="minorHAnsi" w:hAnsi="Arial" w:cs="Arial"/>
          <w:lang w:val="en-US" w:eastAsia="en-US"/>
        </w:rPr>
        <w:t>. Progress in Orthodontics. 2016;17(9)1-13.</w:t>
      </w:r>
    </w:p>
    <w:p w:rsidR="00E73C58" w:rsidRPr="004A4A9E" w:rsidRDefault="0058778F" w:rsidP="00B81CB9">
      <w:pPr>
        <w:autoSpaceDE w:val="0"/>
        <w:autoSpaceDN w:val="0"/>
        <w:adjustRightInd w:val="0"/>
        <w:spacing w:line="480" w:lineRule="auto"/>
        <w:ind w:left="284" w:hanging="284"/>
        <w:jc w:val="both"/>
        <w:rPr>
          <w:rFonts w:ascii="Arial" w:hAnsi="Arial" w:cs="Arial"/>
          <w:lang w:val="en-US"/>
        </w:rPr>
      </w:pPr>
      <w:r>
        <w:rPr>
          <w:rFonts w:ascii="Arial" w:hAnsi="Arial" w:cs="Arial"/>
          <w:lang w:val="en-US"/>
        </w:rPr>
        <w:t>13.</w:t>
      </w:r>
      <w:r w:rsidR="00E73C58" w:rsidRPr="004A4A9E">
        <w:rPr>
          <w:rFonts w:ascii="Arial" w:hAnsi="Arial" w:cs="Arial"/>
          <w:lang w:val="en-US"/>
        </w:rPr>
        <w:t xml:space="preserve">Higgins J. Cochrane Handbook for Systematic Reviews of Interventions (Version 5.3). Cochrane Collaboration. 2011 [cited 2015 21 Oct]. Available from: </w:t>
      </w:r>
      <w:hyperlink r:id="rId7" w:history="1">
        <w:r w:rsidR="00E73C58" w:rsidRPr="004A4A9E">
          <w:rPr>
            <w:rStyle w:val="Hyperlink"/>
            <w:rFonts w:ascii="Arial" w:hAnsi="Arial" w:cs="Arial"/>
            <w:lang w:val="en-US"/>
          </w:rPr>
          <w:t>http://handbook.cochrane.org/</w:t>
        </w:r>
      </w:hyperlink>
    </w:p>
    <w:p w:rsidR="00E73C58" w:rsidRPr="00C62051" w:rsidRDefault="00B81CB9" w:rsidP="00B81CB9">
      <w:pPr>
        <w:spacing w:line="480" w:lineRule="auto"/>
        <w:ind w:left="360" w:hanging="360"/>
        <w:rPr>
          <w:rFonts w:ascii="Arial" w:hAnsi="Arial" w:cs="Arial"/>
          <w:lang w:val="en-US"/>
        </w:rPr>
      </w:pPr>
      <w:r>
        <w:rPr>
          <w:rFonts w:ascii="Arial" w:hAnsi="Arial" w:cs="Arial"/>
          <w:lang w:val="en-US"/>
        </w:rPr>
        <w:lastRenderedPageBreak/>
        <w:t>14.</w:t>
      </w:r>
      <w:r w:rsidR="00E73C58" w:rsidRPr="004A4A9E">
        <w:rPr>
          <w:rFonts w:ascii="Arial" w:hAnsi="Arial" w:cs="Arial"/>
          <w:lang w:val="en-US"/>
        </w:rPr>
        <w:t xml:space="preserve">Baek MS, Choi YJ, Yu HS, Lee KJ,  Kwak J and Park YC. Long-term stability of anterior open-bite treatment by intrusion of maxillary posterior teeth. </w:t>
      </w:r>
      <w:r w:rsidR="00E73C58" w:rsidRPr="00C62051">
        <w:rPr>
          <w:rFonts w:ascii="Arial" w:hAnsi="Arial" w:cs="Arial"/>
          <w:lang w:val="en-US"/>
        </w:rPr>
        <w:t>Am J Orthod Dentofacial Orthop. 2010 Oct;138(4): 396-405.</w:t>
      </w:r>
    </w:p>
    <w:p w:rsidR="00E73C58" w:rsidRPr="00C62051" w:rsidRDefault="00B81CB9" w:rsidP="00B81CB9">
      <w:pPr>
        <w:spacing w:line="480" w:lineRule="auto"/>
        <w:ind w:left="360" w:hanging="360"/>
        <w:rPr>
          <w:rFonts w:ascii="Arial" w:hAnsi="Arial" w:cs="Arial"/>
          <w:lang w:val="en-US"/>
        </w:rPr>
      </w:pPr>
      <w:r w:rsidRPr="00C62051">
        <w:rPr>
          <w:rFonts w:ascii="Arial" w:hAnsi="Arial" w:cs="Arial"/>
          <w:lang w:val="en-US"/>
        </w:rPr>
        <w:t xml:space="preserve">15. </w:t>
      </w:r>
      <w:r w:rsidR="00E73C58" w:rsidRPr="00C62051">
        <w:rPr>
          <w:rFonts w:ascii="Arial" w:hAnsi="Arial" w:cs="Arial"/>
          <w:lang w:val="en-US"/>
        </w:rPr>
        <w:t xml:space="preserve">Deguchi T, Kurosaka H, Oikawa H, Kuroda S, Takahashi I, Yamashiro T, Yamamotof TT. </w:t>
      </w:r>
      <w:r w:rsidR="00E73C58" w:rsidRPr="004A4A9E">
        <w:rPr>
          <w:rFonts w:ascii="Arial" w:hAnsi="Arial" w:cs="Arial"/>
          <w:lang w:val="en-US"/>
        </w:rPr>
        <w:t xml:space="preserve">Comparison of orthodontic treatment outcomes in adults with skeletal open bite between conventional edgewise treatment and implant-anchored orthodontics. </w:t>
      </w:r>
      <w:r w:rsidR="00E73C58" w:rsidRPr="00C62051">
        <w:rPr>
          <w:rFonts w:ascii="Arial" w:hAnsi="Arial" w:cs="Arial"/>
          <w:lang w:val="en-US"/>
        </w:rPr>
        <w:t>Am J Orthod Dentofacial Orthop. 2011 Apr; 139(4):60-8.</w:t>
      </w:r>
    </w:p>
    <w:p w:rsidR="00E73C58" w:rsidRPr="004A4A9E" w:rsidRDefault="00B81CB9" w:rsidP="00B81CB9">
      <w:pPr>
        <w:spacing w:line="480" w:lineRule="auto"/>
        <w:ind w:left="360" w:hanging="360"/>
        <w:rPr>
          <w:rFonts w:ascii="Arial" w:hAnsi="Arial" w:cs="Arial"/>
          <w:lang w:val="en-US"/>
        </w:rPr>
      </w:pPr>
      <w:r>
        <w:rPr>
          <w:rFonts w:ascii="Arial" w:eastAsia="Calibri" w:hAnsi="Arial" w:cs="Arial"/>
          <w:lang w:val="en-US"/>
        </w:rPr>
        <w:t xml:space="preserve">16. </w:t>
      </w:r>
      <w:r w:rsidR="00E73C58" w:rsidRPr="004A4A9E">
        <w:rPr>
          <w:rFonts w:ascii="Arial" w:eastAsia="Calibri" w:hAnsi="Arial" w:cs="Arial"/>
          <w:lang w:val="en-US"/>
        </w:rPr>
        <w:t>Lee J, Miyazawa K, Tabuchi M, Kawaguchi M, Shibata M, Goto S. Midpalatal miniscrews and high-pull headgear for anteroposterior and vertical anchorage control: Cephalometric comparisons of treatment changes. Am J Orthod Dentofacial Orthop. 2013 Aug; 144(2):238-50.</w:t>
      </w:r>
    </w:p>
    <w:p w:rsidR="00E73C58" w:rsidRPr="00C62051" w:rsidRDefault="00B81CB9" w:rsidP="00B81CB9">
      <w:pPr>
        <w:spacing w:line="480" w:lineRule="auto"/>
        <w:ind w:left="360" w:hanging="360"/>
        <w:rPr>
          <w:rFonts w:ascii="Arial" w:hAnsi="Arial" w:cs="Arial"/>
          <w:lang w:val="en-US"/>
        </w:rPr>
      </w:pPr>
      <w:r w:rsidRPr="00C62051">
        <w:rPr>
          <w:rFonts w:ascii="Arial" w:eastAsia="Calibri" w:hAnsi="Arial" w:cs="Arial"/>
          <w:lang w:val="en-US"/>
        </w:rPr>
        <w:t xml:space="preserve">17. </w:t>
      </w:r>
      <w:r w:rsidR="00E73C58" w:rsidRPr="00C62051">
        <w:rPr>
          <w:rFonts w:ascii="Arial" w:eastAsia="Calibri" w:hAnsi="Arial" w:cs="Arial"/>
          <w:lang w:val="en-US"/>
        </w:rPr>
        <w:t xml:space="preserve">Foot R, Dalci O, Gonzales C, Tarraf NE, Darendeliler MA. </w:t>
      </w:r>
      <w:r w:rsidR="00E73C58" w:rsidRPr="004A4A9E">
        <w:rPr>
          <w:rFonts w:ascii="Arial" w:eastAsia="Calibri" w:hAnsi="Arial" w:cs="Arial"/>
          <w:lang w:val="en-US"/>
        </w:rPr>
        <w:t xml:space="preserve">The short-term skeleto-dental effects of a new spring for the intrusion of maxillary posterior teeth in open bite patients. </w:t>
      </w:r>
      <w:r w:rsidR="00E73C58" w:rsidRPr="00C62051">
        <w:rPr>
          <w:rFonts w:ascii="Arial" w:eastAsia="Calibri" w:hAnsi="Arial" w:cs="Arial"/>
          <w:lang w:val="en-US"/>
        </w:rPr>
        <w:t>Progress in Orthodontics. 2014; 15(56);1-9.</w:t>
      </w:r>
    </w:p>
    <w:p w:rsidR="00E73C58" w:rsidRPr="00B81CB9" w:rsidRDefault="00B81CB9" w:rsidP="00B81CB9">
      <w:pPr>
        <w:spacing w:line="480" w:lineRule="auto"/>
        <w:ind w:left="360" w:hanging="360"/>
        <w:rPr>
          <w:rFonts w:ascii="Arial" w:hAnsi="Arial" w:cs="Arial"/>
          <w:lang w:val="en-US"/>
        </w:rPr>
      </w:pPr>
      <w:r>
        <w:rPr>
          <w:rFonts w:ascii="Arial" w:eastAsia="Calibri" w:hAnsi="Arial" w:cs="Arial"/>
          <w:lang w:val="en-US"/>
        </w:rPr>
        <w:t>18.</w:t>
      </w:r>
      <w:r w:rsidR="00E73C58" w:rsidRPr="004A4A9E">
        <w:rPr>
          <w:rFonts w:ascii="Arial" w:eastAsia="Calibri" w:hAnsi="Arial" w:cs="Arial"/>
          <w:lang w:val="en-US"/>
        </w:rPr>
        <w:t xml:space="preserve">Scheffler NR, Proffit WR, Phillips C. Outcomes and stability in patients with anterior open bite and long anterior face height treated with temporary anchorage devices and a maxillary intrusion splint. </w:t>
      </w:r>
      <w:r w:rsidR="00E73C58" w:rsidRPr="00B81CB9">
        <w:rPr>
          <w:rFonts w:ascii="Arial" w:eastAsia="Calibri" w:hAnsi="Arial" w:cs="Arial"/>
          <w:lang w:val="en-US"/>
        </w:rPr>
        <w:t>Am J Orthod Dentofacial Orthop. 2014 Nov;146(5):594-602.</w:t>
      </w:r>
    </w:p>
    <w:p w:rsidR="00E73C58" w:rsidRPr="00C62051" w:rsidRDefault="00B81CB9" w:rsidP="00B81CB9">
      <w:pPr>
        <w:spacing w:line="480" w:lineRule="auto"/>
        <w:ind w:left="360" w:hanging="360"/>
        <w:rPr>
          <w:rFonts w:ascii="Arial" w:hAnsi="Arial" w:cs="Arial"/>
          <w:lang w:val="en-US"/>
        </w:rPr>
      </w:pPr>
      <w:r>
        <w:rPr>
          <w:rFonts w:ascii="Arial" w:eastAsia="Calibri" w:hAnsi="Arial" w:cs="Arial"/>
          <w:lang w:val="en-US"/>
        </w:rPr>
        <w:t xml:space="preserve">19. </w:t>
      </w:r>
      <w:r w:rsidR="00E73C58" w:rsidRPr="004A4A9E">
        <w:rPr>
          <w:rFonts w:ascii="Arial" w:eastAsia="Calibri" w:hAnsi="Arial" w:cs="Arial"/>
          <w:lang w:val="en-US"/>
        </w:rPr>
        <w:t xml:space="preserve">Hart TR, Cousley RRJ, Fishman LS, Tallentes RH. Dentoskeletal changes following mini-implant molar intrusion in anterior open bite patients. </w:t>
      </w:r>
      <w:r w:rsidR="00E73C58" w:rsidRPr="00C62051">
        <w:rPr>
          <w:rFonts w:ascii="Arial" w:eastAsia="Calibri" w:hAnsi="Arial" w:cs="Arial"/>
          <w:lang w:val="en-US"/>
        </w:rPr>
        <w:t>Angle Orthodontist. 2015 Nov;85(6):941-8.</w:t>
      </w:r>
    </w:p>
    <w:p w:rsidR="00E73C58" w:rsidRPr="00C62051" w:rsidRDefault="00B81CB9" w:rsidP="00B81CB9">
      <w:pPr>
        <w:spacing w:line="480" w:lineRule="auto"/>
        <w:ind w:left="360" w:hanging="360"/>
        <w:rPr>
          <w:rFonts w:ascii="Arial" w:hAnsi="Arial" w:cs="Arial"/>
        </w:rPr>
      </w:pPr>
      <w:r w:rsidRPr="00C62051">
        <w:rPr>
          <w:rFonts w:ascii="Arial" w:eastAsia="Calibri" w:hAnsi="Arial" w:cs="Arial"/>
          <w:lang w:val="en-US"/>
        </w:rPr>
        <w:t xml:space="preserve">20. </w:t>
      </w:r>
      <w:r w:rsidR="00E73C58" w:rsidRPr="00C62051">
        <w:rPr>
          <w:rFonts w:ascii="Arial" w:eastAsia="Calibri" w:hAnsi="Arial" w:cs="Arial"/>
          <w:lang w:val="en-US"/>
        </w:rPr>
        <w:t xml:space="preserve">Araújo TM, Nascimento MHA, Franco FCMF, Bitterncourt MAV. </w:t>
      </w:r>
      <w:r w:rsidR="00E73C58" w:rsidRPr="004A4A9E">
        <w:rPr>
          <w:rFonts w:ascii="Arial" w:eastAsia="Calibri" w:hAnsi="Arial" w:cs="Arial"/>
          <w:lang w:val="en-US"/>
        </w:rPr>
        <w:t xml:space="preserve">Dental Intrusion Using Mini Implants. </w:t>
      </w:r>
      <w:r w:rsidR="00E73C58" w:rsidRPr="00C62051">
        <w:rPr>
          <w:rFonts w:ascii="Arial" w:eastAsia="Calibri" w:hAnsi="Arial" w:cs="Arial"/>
        </w:rPr>
        <w:t>R Dental Press Ortodon Ortop Facial. 2008 Sep/Oct;13(5):36-48.</w:t>
      </w:r>
      <w:r w:rsidR="00241208" w:rsidRPr="00C62051">
        <w:rPr>
          <w:rFonts w:ascii="Arial" w:eastAsia="Calibri" w:hAnsi="Arial" w:cs="Arial"/>
        </w:rPr>
        <w:t xml:space="preserve"> </w:t>
      </w:r>
    </w:p>
    <w:p w:rsidR="00E73C58" w:rsidRPr="004A4A9E" w:rsidRDefault="00B81CB9" w:rsidP="00B81CB9">
      <w:pPr>
        <w:spacing w:line="480" w:lineRule="auto"/>
        <w:ind w:left="360" w:hanging="360"/>
        <w:rPr>
          <w:rFonts w:ascii="Arial" w:hAnsi="Arial" w:cs="Arial"/>
          <w:lang w:val="en-US"/>
        </w:rPr>
      </w:pPr>
      <w:r>
        <w:rPr>
          <w:rFonts w:ascii="Arial" w:eastAsia="Calibri" w:hAnsi="Arial" w:cs="Arial"/>
        </w:rPr>
        <w:lastRenderedPageBreak/>
        <w:t xml:space="preserve">21. </w:t>
      </w:r>
      <w:r w:rsidR="00E73C58" w:rsidRPr="004A4A9E">
        <w:rPr>
          <w:rFonts w:ascii="Arial" w:eastAsia="Calibri" w:hAnsi="Arial" w:cs="Arial"/>
        </w:rPr>
        <w:t xml:space="preserve">Araújo TM, Nascimento MHA, Bezerra F, Sobral MC. </w:t>
      </w:r>
      <w:r w:rsidR="00E73C58" w:rsidRPr="004A4A9E">
        <w:rPr>
          <w:rFonts w:ascii="Arial" w:eastAsia="Calibri" w:hAnsi="Arial" w:cs="Arial"/>
          <w:lang w:val="en-US"/>
        </w:rPr>
        <w:t>Skeletal anchorage in orthodontics with mini-implants. Rev. Dental Press Ortodon. Ortop. Facial. 2006 Jul/Aug;11(4):126-56.</w:t>
      </w:r>
      <w:r w:rsidR="00241208" w:rsidRPr="004A4A9E">
        <w:rPr>
          <w:rFonts w:ascii="Arial" w:eastAsia="Calibri" w:hAnsi="Arial" w:cs="Arial"/>
          <w:lang w:val="en-US"/>
        </w:rPr>
        <w:t xml:space="preserve"> </w:t>
      </w:r>
    </w:p>
    <w:p w:rsidR="00E73C58" w:rsidRPr="004A4A9E" w:rsidRDefault="00B81CB9" w:rsidP="00B81CB9">
      <w:pPr>
        <w:spacing w:line="480" w:lineRule="auto"/>
        <w:ind w:left="360" w:hanging="360"/>
        <w:rPr>
          <w:rFonts w:ascii="Arial" w:hAnsi="Arial" w:cs="Arial"/>
          <w:lang w:val="en-US"/>
        </w:rPr>
      </w:pPr>
      <w:r w:rsidRPr="00C62051">
        <w:rPr>
          <w:rFonts w:ascii="Arial" w:eastAsia="Calibri" w:hAnsi="Arial" w:cs="Arial"/>
          <w:lang w:val="en-US"/>
        </w:rPr>
        <w:t xml:space="preserve">22. </w:t>
      </w:r>
      <w:r w:rsidR="00E73C58" w:rsidRPr="00C62051">
        <w:rPr>
          <w:rFonts w:ascii="Arial" w:eastAsia="Calibri" w:hAnsi="Arial" w:cs="Arial"/>
          <w:lang w:val="en-US"/>
        </w:rPr>
        <w:t xml:space="preserve">Baumgaertel S, Smuthkochorn S, Palomo JM. </w:t>
      </w:r>
      <w:r w:rsidR="00E73C58" w:rsidRPr="004A4A9E">
        <w:rPr>
          <w:rFonts w:ascii="Arial" w:eastAsia="Calibri" w:hAnsi="Arial" w:cs="Arial"/>
          <w:lang w:val="en-US"/>
        </w:rPr>
        <w:t>Intrusion method for a single overerupted maxillary molar using only palatal mini-implants and partial fixed appliances. Am J Orthod Dentofacial Orthop. 2016 Mar;149(3):411-15.</w:t>
      </w:r>
    </w:p>
    <w:p w:rsidR="00E73C58" w:rsidRPr="004A4A9E" w:rsidRDefault="00B81CB9" w:rsidP="00B81CB9">
      <w:pPr>
        <w:spacing w:line="480" w:lineRule="auto"/>
        <w:ind w:left="360" w:hanging="360"/>
        <w:rPr>
          <w:rFonts w:ascii="Arial" w:hAnsi="Arial" w:cs="Arial"/>
        </w:rPr>
      </w:pPr>
      <w:r>
        <w:rPr>
          <w:rFonts w:ascii="Arial" w:eastAsia="Calibri" w:hAnsi="Arial" w:cs="Arial"/>
          <w:lang w:val="en-US"/>
        </w:rPr>
        <w:t>23.</w:t>
      </w:r>
      <w:r w:rsidR="00E73C58" w:rsidRPr="004A4A9E">
        <w:rPr>
          <w:rFonts w:ascii="Arial" w:eastAsia="Calibri" w:hAnsi="Arial" w:cs="Arial"/>
          <w:lang w:val="en-US"/>
        </w:rPr>
        <w:t xml:space="preserve">Tseng YC, Hsieh CH, Chen CH, Shen YS, Huang IY, Chen CM. The application of mini-implants for orthodontic anchorage. </w:t>
      </w:r>
      <w:r w:rsidR="00E73C58" w:rsidRPr="004A4A9E">
        <w:rPr>
          <w:rFonts w:ascii="Arial" w:eastAsia="Calibri" w:hAnsi="Arial" w:cs="Arial"/>
        </w:rPr>
        <w:t>Int. J. Oral Maxillofac. Surg. 2006 Aug;35(8)704–7.</w:t>
      </w:r>
    </w:p>
    <w:p w:rsidR="00E73C58" w:rsidRPr="004A4A9E" w:rsidRDefault="0058778F" w:rsidP="0058778F">
      <w:pPr>
        <w:spacing w:line="480" w:lineRule="auto"/>
        <w:ind w:left="360" w:hanging="360"/>
        <w:rPr>
          <w:rFonts w:ascii="Arial" w:hAnsi="Arial" w:cs="Arial"/>
          <w:lang w:val="en-US"/>
        </w:rPr>
      </w:pPr>
      <w:r>
        <w:rPr>
          <w:rFonts w:ascii="Arial" w:hAnsi="Arial" w:cs="Arial"/>
        </w:rPr>
        <w:t>24.</w:t>
      </w:r>
      <w:r w:rsidR="00E73C58" w:rsidRPr="004A4A9E">
        <w:rPr>
          <w:rFonts w:ascii="Arial" w:hAnsi="Arial" w:cs="Arial"/>
        </w:rPr>
        <w:t xml:space="preserve">Paccini JVC, Cotrim-Ferreira FA, Ferreira FV, Freitas KMS, Cançado RH, Valarelli FP. </w:t>
      </w:r>
      <w:r w:rsidR="00E73C58" w:rsidRPr="004A4A9E">
        <w:rPr>
          <w:rFonts w:ascii="Arial" w:eastAsia="Calibri" w:hAnsi="Arial" w:cs="Arial"/>
          <w:lang w:val="en-US"/>
        </w:rPr>
        <w:t>Efficiency of two protocols for maxillary molar intrusion with mini-implants. Dental Press J Orthod. 2016 May/Jun;21(3):56-66.</w:t>
      </w:r>
    </w:p>
    <w:p w:rsidR="00E73C58" w:rsidRPr="0058778F" w:rsidRDefault="0058778F" w:rsidP="0058778F">
      <w:pPr>
        <w:spacing w:line="480" w:lineRule="auto"/>
        <w:ind w:left="360" w:hanging="360"/>
        <w:rPr>
          <w:rFonts w:ascii="Arial" w:hAnsi="Arial" w:cs="Arial"/>
          <w:lang w:val="en-US"/>
        </w:rPr>
      </w:pPr>
      <w:r>
        <w:rPr>
          <w:rFonts w:ascii="Arial" w:eastAsia="Calibri" w:hAnsi="Arial" w:cs="Arial"/>
          <w:lang w:val="en-US"/>
        </w:rPr>
        <w:t>25.</w:t>
      </w:r>
      <w:r w:rsidR="00E73C58" w:rsidRPr="004A4A9E">
        <w:rPr>
          <w:rFonts w:ascii="Arial" w:eastAsia="Calibri" w:hAnsi="Arial" w:cs="Arial"/>
          <w:lang w:val="en-US"/>
        </w:rPr>
        <w:t xml:space="preserve">Artese A, Drummond S, Nascimento JM, Artese F. Criteria for the diagnosis and stable treatment of anterior open bite. </w:t>
      </w:r>
      <w:r w:rsidR="00E73C58" w:rsidRPr="0058778F">
        <w:rPr>
          <w:rFonts w:ascii="Arial" w:eastAsia="Calibri" w:hAnsi="Arial" w:cs="Arial"/>
          <w:lang w:val="en-US"/>
        </w:rPr>
        <w:t>Dental Press J Orthod. 2011 May/Jun;16(3):136-61.</w:t>
      </w:r>
    </w:p>
    <w:p w:rsidR="004D20EB" w:rsidRPr="0058778F" w:rsidRDefault="004D20EB" w:rsidP="004A4A9E">
      <w:pPr>
        <w:spacing w:line="480" w:lineRule="auto"/>
        <w:jc w:val="both"/>
        <w:rPr>
          <w:rFonts w:ascii="Arial" w:eastAsia="Calibri" w:hAnsi="Arial" w:cs="Arial"/>
          <w:lang w:val="en-US"/>
        </w:rPr>
      </w:pPr>
    </w:p>
    <w:p w:rsidR="004D20EB" w:rsidRPr="0058778F" w:rsidRDefault="004D20EB" w:rsidP="004A4A9E">
      <w:pPr>
        <w:spacing w:line="480" w:lineRule="auto"/>
        <w:jc w:val="both"/>
        <w:rPr>
          <w:rFonts w:ascii="Arial" w:eastAsia="Calibri" w:hAnsi="Arial" w:cs="Arial"/>
          <w:lang w:val="en-US"/>
        </w:rPr>
      </w:pPr>
    </w:p>
    <w:p w:rsidR="004D20EB" w:rsidRPr="0058778F" w:rsidRDefault="004D20EB" w:rsidP="004A4A9E">
      <w:pPr>
        <w:spacing w:line="480" w:lineRule="auto"/>
        <w:jc w:val="both"/>
        <w:rPr>
          <w:rFonts w:ascii="Arial" w:eastAsia="Calibri" w:hAnsi="Arial" w:cs="Arial"/>
          <w:lang w:val="en-US"/>
        </w:rPr>
      </w:pPr>
    </w:p>
    <w:p w:rsidR="004D20EB" w:rsidRPr="0058778F" w:rsidRDefault="004D20EB" w:rsidP="004A4A9E">
      <w:pPr>
        <w:spacing w:line="480" w:lineRule="auto"/>
        <w:jc w:val="both"/>
        <w:rPr>
          <w:rFonts w:ascii="Arial" w:eastAsia="Calibri" w:hAnsi="Arial" w:cs="Arial"/>
          <w:lang w:val="en-US"/>
        </w:rPr>
      </w:pPr>
    </w:p>
    <w:p w:rsidR="004D20EB" w:rsidRPr="0058778F" w:rsidRDefault="004D20EB" w:rsidP="004A4A9E">
      <w:pPr>
        <w:spacing w:line="480" w:lineRule="auto"/>
        <w:jc w:val="both"/>
        <w:rPr>
          <w:rFonts w:ascii="Arial" w:eastAsia="Calibri" w:hAnsi="Arial" w:cs="Arial"/>
          <w:lang w:val="en-US"/>
        </w:rPr>
      </w:pPr>
    </w:p>
    <w:p w:rsidR="004D20EB" w:rsidRPr="004A4A9E" w:rsidRDefault="004D20EB" w:rsidP="004A4A9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color w:val="212121"/>
          <w:lang w:val="en-US"/>
        </w:rPr>
      </w:pPr>
    </w:p>
    <w:p w:rsidR="004D20EB" w:rsidRPr="004A4A9E" w:rsidRDefault="004D20EB" w:rsidP="004A4A9E">
      <w:pPr>
        <w:spacing w:after="15" w:line="480" w:lineRule="auto"/>
        <w:jc w:val="both"/>
        <w:textAlignment w:val="top"/>
        <w:rPr>
          <w:rFonts w:ascii="Arial" w:hAnsi="Arial" w:cs="Arial"/>
          <w:color w:val="000000"/>
          <w:lang w:val="en-US"/>
        </w:rPr>
      </w:pPr>
    </w:p>
    <w:p w:rsidR="004D20EB" w:rsidRPr="004A4A9E" w:rsidRDefault="004D20EB" w:rsidP="004A4A9E">
      <w:pPr>
        <w:spacing w:line="480" w:lineRule="auto"/>
        <w:jc w:val="both"/>
        <w:rPr>
          <w:rFonts w:ascii="Arial" w:hAnsi="Arial" w:cs="Arial"/>
          <w:lang w:val="en-US"/>
        </w:rPr>
      </w:pPr>
    </w:p>
    <w:p w:rsidR="00F523CD" w:rsidRPr="004A4A9E" w:rsidRDefault="00F523CD" w:rsidP="004A4A9E">
      <w:pPr>
        <w:spacing w:line="480" w:lineRule="auto"/>
        <w:rPr>
          <w:rFonts w:ascii="Arial" w:hAnsi="Arial" w:cs="Arial"/>
          <w:lang w:val="en-US"/>
        </w:rPr>
      </w:pPr>
    </w:p>
    <w:sectPr w:rsidR="00F523CD" w:rsidRPr="004A4A9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FB2" w:rsidRDefault="00146FB2" w:rsidP="00653022">
      <w:r>
        <w:separator/>
      </w:r>
    </w:p>
  </w:endnote>
  <w:endnote w:type="continuationSeparator" w:id="0">
    <w:p w:rsidR="00146FB2" w:rsidRDefault="00146FB2" w:rsidP="0065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FB2" w:rsidRDefault="00146FB2" w:rsidP="00653022">
      <w:r>
        <w:separator/>
      </w:r>
    </w:p>
  </w:footnote>
  <w:footnote w:type="continuationSeparator" w:id="0">
    <w:p w:rsidR="00146FB2" w:rsidRDefault="00146FB2" w:rsidP="00653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16963"/>
    <w:multiLevelType w:val="hybridMultilevel"/>
    <w:tmpl w:val="A91640D4"/>
    <w:lvl w:ilvl="0" w:tplc="85103346">
      <w:start w:val="1"/>
      <w:numFmt w:val="decimal"/>
      <w:lvlText w:val="%1."/>
      <w:lvlJc w:val="left"/>
      <w:pPr>
        <w:ind w:left="720" w:hanging="360"/>
      </w:pPr>
      <w:rPr>
        <w:lang w:val="en-U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58"/>
    <w:rsid w:val="00015CAE"/>
    <w:rsid w:val="00056314"/>
    <w:rsid w:val="00057AF9"/>
    <w:rsid w:val="00143BD4"/>
    <w:rsid w:val="001448D3"/>
    <w:rsid w:val="00146FB2"/>
    <w:rsid w:val="00171178"/>
    <w:rsid w:val="00176D09"/>
    <w:rsid w:val="001D7C0F"/>
    <w:rsid w:val="0021510C"/>
    <w:rsid w:val="00221EBB"/>
    <w:rsid w:val="00230A62"/>
    <w:rsid w:val="00241208"/>
    <w:rsid w:val="002511D8"/>
    <w:rsid w:val="003A34FA"/>
    <w:rsid w:val="003F1A67"/>
    <w:rsid w:val="00411146"/>
    <w:rsid w:val="00450F7A"/>
    <w:rsid w:val="0047624B"/>
    <w:rsid w:val="004A4A9E"/>
    <w:rsid w:val="004A57C6"/>
    <w:rsid w:val="004D20EB"/>
    <w:rsid w:val="0058778F"/>
    <w:rsid w:val="006067C9"/>
    <w:rsid w:val="00614F17"/>
    <w:rsid w:val="00633D38"/>
    <w:rsid w:val="00653022"/>
    <w:rsid w:val="00660D11"/>
    <w:rsid w:val="006F5E2F"/>
    <w:rsid w:val="00731C76"/>
    <w:rsid w:val="007E12D5"/>
    <w:rsid w:val="007F5B6B"/>
    <w:rsid w:val="00826DA0"/>
    <w:rsid w:val="00847EDA"/>
    <w:rsid w:val="008B27F6"/>
    <w:rsid w:val="008E51FA"/>
    <w:rsid w:val="00902F60"/>
    <w:rsid w:val="00931FED"/>
    <w:rsid w:val="009468C1"/>
    <w:rsid w:val="009A6772"/>
    <w:rsid w:val="009F1939"/>
    <w:rsid w:val="00AA64C6"/>
    <w:rsid w:val="00AF1497"/>
    <w:rsid w:val="00B0453C"/>
    <w:rsid w:val="00B81CB9"/>
    <w:rsid w:val="00B81EA3"/>
    <w:rsid w:val="00BE3E71"/>
    <w:rsid w:val="00C42200"/>
    <w:rsid w:val="00C62051"/>
    <w:rsid w:val="00C62B2E"/>
    <w:rsid w:val="00D838AA"/>
    <w:rsid w:val="00DA1EAE"/>
    <w:rsid w:val="00DC2280"/>
    <w:rsid w:val="00DF67AE"/>
    <w:rsid w:val="00E47B13"/>
    <w:rsid w:val="00E73C58"/>
    <w:rsid w:val="00E97B7B"/>
    <w:rsid w:val="00F36A9A"/>
    <w:rsid w:val="00F523CD"/>
    <w:rsid w:val="00FF6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83F9D-4AC5-4C51-904E-51737E11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5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73C58"/>
    <w:pPr>
      <w:jc w:val="both"/>
    </w:pPr>
    <w:rPr>
      <w:rFonts w:ascii="Tahoma" w:hAnsi="Tahoma" w:cs="Tahoma"/>
      <w:sz w:val="28"/>
    </w:rPr>
  </w:style>
  <w:style w:type="character" w:customStyle="1" w:styleId="CorpodetextoChar">
    <w:name w:val="Corpo de texto Char"/>
    <w:basedOn w:val="Fontepargpadro"/>
    <w:link w:val="Corpodetexto"/>
    <w:rsid w:val="00E73C58"/>
    <w:rPr>
      <w:rFonts w:ascii="Tahoma" w:eastAsia="Times New Roman" w:hAnsi="Tahoma" w:cs="Tahoma"/>
      <w:sz w:val="28"/>
      <w:szCs w:val="24"/>
      <w:lang w:eastAsia="pt-BR"/>
    </w:rPr>
  </w:style>
  <w:style w:type="character" w:styleId="Hyperlink">
    <w:name w:val="Hyperlink"/>
    <w:uiPriority w:val="99"/>
    <w:unhideWhenUsed/>
    <w:rsid w:val="00E73C58"/>
    <w:rPr>
      <w:color w:val="0563C1"/>
      <w:u w:val="single"/>
    </w:rPr>
  </w:style>
  <w:style w:type="paragraph" w:styleId="Pr-formataoHTML">
    <w:name w:val="HTML Preformatted"/>
    <w:basedOn w:val="Normal"/>
    <w:link w:val="Pr-formataoHTMLChar"/>
    <w:uiPriority w:val="99"/>
    <w:unhideWhenUsed/>
    <w:rsid w:val="00E7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73C58"/>
    <w:rPr>
      <w:rFonts w:ascii="Courier New" w:eastAsia="Times New Roman" w:hAnsi="Courier New" w:cs="Courier New"/>
      <w:sz w:val="20"/>
      <w:szCs w:val="20"/>
      <w:lang w:eastAsia="pt-BR"/>
    </w:rPr>
  </w:style>
  <w:style w:type="character" w:customStyle="1" w:styleId="ref-journal">
    <w:name w:val="ref-journal"/>
    <w:rsid w:val="00E73C58"/>
  </w:style>
  <w:style w:type="character" w:customStyle="1" w:styleId="ref-vol">
    <w:name w:val="ref-vol"/>
    <w:rsid w:val="00E73C58"/>
  </w:style>
  <w:style w:type="paragraph" w:styleId="Cabealho">
    <w:name w:val="header"/>
    <w:basedOn w:val="Normal"/>
    <w:link w:val="CabealhoChar"/>
    <w:uiPriority w:val="99"/>
    <w:unhideWhenUsed/>
    <w:rsid w:val="00653022"/>
    <w:pPr>
      <w:tabs>
        <w:tab w:val="center" w:pos="4252"/>
        <w:tab w:val="right" w:pos="8504"/>
      </w:tabs>
    </w:pPr>
  </w:style>
  <w:style w:type="character" w:customStyle="1" w:styleId="CabealhoChar">
    <w:name w:val="Cabeçalho Char"/>
    <w:basedOn w:val="Fontepargpadro"/>
    <w:link w:val="Cabealho"/>
    <w:uiPriority w:val="99"/>
    <w:rsid w:val="0065302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53022"/>
    <w:pPr>
      <w:tabs>
        <w:tab w:val="center" w:pos="4252"/>
        <w:tab w:val="right" w:pos="8504"/>
      </w:tabs>
    </w:pPr>
  </w:style>
  <w:style w:type="character" w:customStyle="1" w:styleId="RodapChar">
    <w:name w:val="Rodapé Char"/>
    <w:basedOn w:val="Fontepargpadro"/>
    <w:link w:val="Rodap"/>
    <w:uiPriority w:val="99"/>
    <w:rsid w:val="00653022"/>
    <w:rPr>
      <w:rFonts w:ascii="Times New Roman" w:eastAsia="Times New Roman" w:hAnsi="Times New Roman" w:cs="Times New Roman"/>
      <w:sz w:val="24"/>
      <w:szCs w:val="24"/>
      <w:lang w:eastAsia="pt-BR"/>
    </w:rPr>
  </w:style>
  <w:style w:type="character" w:customStyle="1" w:styleId="nlmstring-name">
    <w:name w:val="nlm_string-name"/>
    <w:basedOn w:val="Fontepargpadro"/>
    <w:rsid w:val="0061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400">
      <w:bodyDiv w:val="1"/>
      <w:marLeft w:val="0"/>
      <w:marRight w:val="0"/>
      <w:marTop w:val="0"/>
      <w:marBottom w:val="0"/>
      <w:divBdr>
        <w:top w:val="none" w:sz="0" w:space="0" w:color="auto"/>
        <w:left w:val="none" w:sz="0" w:space="0" w:color="auto"/>
        <w:bottom w:val="none" w:sz="0" w:space="0" w:color="auto"/>
        <w:right w:val="none" w:sz="0" w:space="0" w:color="auto"/>
      </w:divBdr>
    </w:div>
    <w:div w:id="46078451">
      <w:bodyDiv w:val="1"/>
      <w:marLeft w:val="0"/>
      <w:marRight w:val="0"/>
      <w:marTop w:val="0"/>
      <w:marBottom w:val="0"/>
      <w:divBdr>
        <w:top w:val="none" w:sz="0" w:space="0" w:color="auto"/>
        <w:left w:val="none" w:sz="0" w:space="0" w:color="auto"/>
        <w:bottom w:val="none" w:sz="0" w:space="0" w:color="auto"/>
        <w:right w:val="none" w:sz="0" w:space="0" w:color="auto"/>
      </w:divBdr>
    </w:div>
    <w:div w:id="52120363">
      <w:bodyDiv w:val="1"/>
      <w:marLeft w:val="0"/>
      <w:marRight w:val="0"/>
      <w:marTop w:val="0"/>
      <w:marBottom w:val="0"/>
      <w:divBdr>
        <w:top w:val="none" w:sz="0" w:space="0" w:color="auto"/>
        <w:left w:val="none" w:sz="0" w:space="0" w:color="auto"/>
        <w:bottom w:val="none" w:sz="0" w:space="0" w:color="auto"/>
        <w:right w:val="none" w:sz="0" w:space="0" w:color="auto"/>
      </w:divBdr>
    </w:div>
    <w:div w:id="102846951">
      <w:bodyDiv w:val="1"/>
      <w:marLeft w:val="0"/>
      <w:marRight w:val="0"/>
      <w:marTop w:val="0"/>
      <w:marBottom w:val="0"/>
      <w:divBdr>
        <w:top w:val="none" w:sz="0" w:space="0" w:color="auto"/>
        <w:left w:val="none" w:sz="0" w:space="0" w:color="auto"/>
        <w:bottom w:val="none" w:sz="0" w:space="0" w:color="auto"/>
        <w:right w:val="none" w:sz="0" w:space="0" w:color="auto"/>
      </w:divBdr>
    </w:div>
    <w:div w:id="165831289">
      <w:bodyDiv w:val="1"/>
      <w:marLeft w:val="0"/>
      <w:marRight w:val="0"/>
      <w:marTop w:val="0"/>
      <w:marBottom w:val="0"/>
      <w:divBdr>
        <w:top w:val="none" w:sz="0" w:space="0" w:color="auto"/>
        <w:left w:val="none" w:sz="0" w:space="0" w:color="auto"/>
        <w:bottom w:val="none" w:sz="0" w:space="0" w:color="auto"/>
        <w:right w:val="none" w:sz="0" w:space="0" w:color="auto"/>
      </w:divBdr>
    </w:div>
    <w:div w:id="251663100">
      <w:bodyDiv w:val="1"/>
      <w:marLeft w:val="0"/>
      <w:marRight w:val="0"/>
      <w:marTop w:val="0"/>
      <w:marBottom w:val="0"/>
      <w:divBdr>
        <w:top w:val="none" w:sz="0" w:space="0" w:color="auto"/>
        <w:left w:val="none" w:sz="0" w:space="0" w:color="auto"/>
        <w:bottom w:val="none" w:sz="0" w:space="0" w:color="auto"/>
        <w:right w:val="none" w:sz="0" w:space="0" w:color="auto"/>
      </w:divBdr>
    </w:div>
    <w:div w:id="271863696">
      <w:bodyDiv w:val="1"/>
      <w:marLeft w:val="0"/>
      <w:marRight w:val="0"/>
      <w:marTop w:val="0"/>
      <w:marBottom w:val="0"/>
      <w:divBdr>
        <w:top w:val="none" w:sz="0" w:space="0" w:color="auto"/>
        <w:left w:val="none" w:sz="0" w:space="0" w:color="auto"/>
        <w:bottom w:val="none" w:sz="0" w:space="0" w:color="auto"/>
        <w:right w:val="none" w:sz="0" w:space="0" w:color="auto"/>
      </w:divBdr>
    </w:div>
    <w:div w:id="305086706">
      <w:bodyDiv w:val="1"/>
      <w:marLeft w:val="0"/>
      <w:marRight w:val="0"/>
      <w:marTop w:val="0"/>
      <w:marBottom w:val="0"/>
      <w:divBdr>
        <w:top w:val="none" w:sz="0" w:space="0" w:color="auto"/>
        <w:left w:val="none" w:sz="0" w:space="0" w:color="auto"/>
        <w:bottom w:val="none" w:sz="0" w:space="0" w:color="auto"/>
        <w:right w:val="none" w:sz="0" w:space="0" w:color="auto"/>
      </w:divBdr>
    </w:div>
    <w:div w:id="371662318">
      <w:bodyDiv w:val="1"/>
      <w:marLeft w:val="0"/>
      <w:marRight w:val="0"/>
      <w:marTop w:val="0"/>
      <w:marBottom w:val="0"/>
      <w:divBdr>
        <w:top w:val="none" w:sz="0" w:space="0" w:color="auto"/>
        <w:left w:val="none" w:sz="0" w:space="0" w:color="auto"/>
        <w:bottom w:val="none" w:sz="0" w:space="0" w:color="auto"/>
        <w:right w:val="none" w:sz="0" w:space="0" w:color="auto"/>
      </w:divBdr>
    </w:div>
    <w:div w:id="475101086">
      <w:bodyDiv w:val="1"/>
      <w:marLeft w:val="0"/>
      <w:marRight w:val="0"/>
      <w:marTop w:val="0"/>
      <w:marBottom w:val="0"/>
      <w:divBdr>
        <w:top w:val="none" w:sz="0" w:space="0" w:color="auto"/>
        <w:left w:val="none" w:sz="0" w:space="0" w:color="auto"/>
        <w:bottom w:val="none" w:sz="0" w:space="0" w:color="auto"/>
        <w:right w:val="none" w:sz="0" w:space="0" w:color="auto"/>
      </w:divBdr>
    </w:div>
    <w:div w:id="571349693">
      <w:bodyDiv w:val="1"/>
      <w:marLeft w:val="0"/>
      <w:marRight w:val="0"/>
      <w:marTop w:val="0"/>
      <w:marBottom w:val="0"/>
      <w:divBdr>
        <w:top w:val="none" w:sz="0" w:space="0" w:color="auto"/>
        <w:left w:val="none" w:sz="0" w:space="0" w:color="auto"/>
        <w:bottom w:val="none" w:sz="0" w:space="0" w:color="auto"/>
        <w:right w:val="none" w:sz="0" w:space="0" w:color="auto"/>
      </w:divBdr>
    </w:div>
    <w:div w:id="577446252">
      <w:bodyDiv w:val="1"/>
      <w:marLeft w:val="0"/>
      <w:marRight w:val="0"/>
      <w:marTop w:val="0"/>
      <w:marBottom w:val="0"/>
      <w:divBdr>
        <w:top w:val="none" w:sz="0" w:space="0" w:color="auto"/>
        <w:left w:val="none" w:sz="0" w:space="0" w:color="auto"/>
        <w:bottom w:val="none" w:sz="0" w:space="0" w:color="auto"/>
        <w:right w:val="none" w:sz="0" w:space="0" w:color="auto"/>
      </w:divBdr>
    </w:div>
    <w:div w:id="626548009">
      <w:bodyDiv w:val="1"/>
      <w:marLeft w:val="0"/>
      <w:marRight w:val="0"/>
      <w:marTop w:val="0"/>
      <w:marBottom w:val="0"/>
      <w:divBdr>
        <w:top w:val="none" w:sz="0" w:space="0" w:color="auto"/>
        <w:left w:val="none" w:sz="0" w:space="0" w:color="auto"/>
        <w:bottom w:val="none" w:sz="0" w:space="0" w:color="auto"/>
        <w:right w:val="none" w:sz="0" w:space="0" w:color="auto"/>
      </w:divBdr>
    </w:div>
    <w:div w:id="652681109">
      <w:bodyDiv w:val="1"/>
      <w:marLeft w:val="0"/>
      <w:marRight w:val="0"/>
      <w:marTop w:val="0"/>
      <w:marBottom w:val="0"/>
      <w:divBdr>
        <w:top w:val="none" w:sz="0" w:space="0" w:color="auto"/>
        <w:left w:val="none" w:sz="0" w:space="0" w:color="auto"/>
        <w:bottom w:val="none" w:sz="0" w:space="0" w:color="auto"/>
        <w:right w:val="none" w:sz="0" w:space="0" w:color="auto"/>
      </w:divBdr>
    </w:div>
    <w:div w:id="676006458">
      <w:bodyDiv w:val="1"/>
      <w:marLeft w:val="0"/>
      <w:marRight w:val="0"/>
      <w:marTop w:val="0"/>
      <w:marBottom w:val="0"/>
      <w:divBdr>
        <w:top w:val="none" w:sz="0" w:space="0" w:color="auto"/>
        <w:left w:val="none" w:sz="0" w:space="0" w:color="auto"/>
        <w:bottom w:val="none" w:sz="0" w:space="0" w:color="auto"/>
        <w:right w:val="none" w:sz="0" w:space="0" w:color="auto"/>
      </w:divBdr>
    </w:div>
    <w:div w:id="704792026">
      <w:bodyDiv w:val="1"/>
      <w:marLeft w:val="0"/>
      <w:marRight w:val="0"/>
      <w:marTop w:val="0"/>
      <w:marBottom w:val="0"/>
      <w:divBdr>
        <w:top w:val="none" w:sz="0" w:space="0" w:color="auto"/>
        <w:left w:val="none" w:sz="0" w:space="0" w:color="auto"/>
        <w:bottom w:val="none" w:sz="0" w:space="0" w:color="auto"/>
        <w:right w:val="none" w:sz="0" w:space="0" w:color="auto"/>
      </w:divBdr>
    </w:div>
    <w:div w:id="762989131">
      <w:bodyDiv w:val="1"/>
      <w:marLeft w:val="0"/>
      <w:marRight w:val="0"/>
      <w:marTop w:val="0"/>
      <w:marBottom w:val="0"/>
      <w:divBdr>
        <w:top w:val="none" w:sz="0" w:space="0" w:color="auto"/>
        <w:left w:val="none" w:sz="0" w:space="0" w:color="auto"/>
        <w:bottom w:val="none" w:sz="0" w:space="0" w:color="auto"/>
        <w:right w:val="none" w:sz="0" w:space="0" w:color="auto"/>
      </w:divBdr>
    </w:div>
    <w:div w:id="841359974">
      <w:bodyDiv w:val="1"/>
      <w:marLeft w:val="0"/>
      <w:marRight w:val="0"/>
      <w:marTop w:val="0"/>
      <w:marBottom w:val="0"/>
      <w:divBdr>
        <w:top w:val="none" w:sz="0" w:space="0" w:color="auto"/>
        <w:left w:val="none" w:sz="0" w:space="0" w:color="auto"/>
        <w:bottom w:val="none" w:sz="0" w:space="0" w:color="auto"/>
        <w:right w:val="none" w:sz="0" w:space="0" w:color="auto"/>
      </w:divBdr>
    </w:div>
    <w:div w:id="889221951">
      <w:bodyDiv w:val="1"/>
      <w:marLeft w:val="0"/>
      <w:marRight w:val="0"/>
      <w:marTop w:val="0"/>
      <w:marBottom w:val="0"/>
      <w:divBdr>
        <w:top w:val="none" w:sz="0" w:space="0" w:color="auto"/>
        <w:left w:val="none" w:sz="0" w:space="0" w:color="auto"/>
        <w:bottom w:val="none" w:sz="0" w:space="0" w:color="auto"/>
        <w:right w:val="none" w:sz="0" w:space="0" w:color="auto"/>
      </w:divBdr>
    </w:div>
    <w:div w:id="906454410">
      <w:bodyDiv w:val="1"/>
      <w:marLeft w:val="0"/>
      <w:marRight w:val="0"/>
      <w:marTop w:val="0"/>
      <w:marBottom w:val="0"/>
      <w:divBdr>
        <w:top w:val="none" w:sz="0" w:space="0" w:color="auto"/>
        <w:left w:val="none" w:sz="0" w:space="0" w:color="auto"/>
        <w:bottom w:val="none" w:sz="0" w:space="0" w:color="auto"/>
        <w:right w:val="none" w:sz="0" w:space="0" w:color="auto"/>
      </w:divBdr>
    </w:div>
    <w:div w:id="1026564230">
      <w:bodyDiv w:val="1"/>
      <w:marLeft w:val="0"/>
      <w:marRight w:val="0"/>
      <w:marTop w:val="0"/>
      <w:marBottom w:val="0"/>
      <w:divBdr>
        <w:top w:val="none" w:sz="0" w:space="0" w:color="auto"/>
        <w:left w:val="none" w:sz="0" w:space="0" w:color="auto"/>
        <w:bottom w:val="none" w:sz="0" w:space="0" w:color="auto"/>
        <w:right w:val="none" w:sz="0" w:space="0" w:color="auto"/>
      </w:divBdr>
    </w:div>
    <w:div w:id="1036126474">
      <w:bodyDiv w:val="1"/>
      <w:marLeft w:val="0"/>
      <w:marRight w:val="0"/>
      <w:marTop w:val="0"/>
      <w:marBottom w:val="0"/>
      <w:divBdr>
        <w:top w:val="none" w:sz="0" w:space="0" w:color="auto"/>
        <w:left w:val="none" w:sz="0" w:space="0" w:color="auto"/>
        <w:bottom w:val="none" w:sz="0" w:space="0" w:color="auto"/>
        <w:right w:val="none" w:sz="0" w:space="0" w:color="auto"/>
      </w:divBdr>
    </w:div>
    <w:div w:id="1222865508">
      <w:bodyDiv w:val="1"/>
      <w:marLeft w:val="0"/>
      <w:marRight w:val="0"/>
      <w:marTop w:val="0"/>
      <w:marBottom w:val="0"/>
      <w:divBdr>
        <w:top w:val="none" w:sz="0" w:space="0" w:color="auto"/>
        <w:left w:val="none" w:sz="0" w:space="0" w:color="auto"/>
        <w:bottom w:val="none" w:sz="0" w:space="0" w:color="auto"/>
        <w:right w:val="none" w:sz="0" w:space="0" w:color="auto"/>
      </w:divBdr>
    </w:div>
    <w:div w:id="1244799153">
      <w:bodyDiv w:val="1"/>
      <w:marLeft w:val="0"/>
      <w:marRight w:val="0"/>
      <w:marTop w:val="0"/>
      <w:marBottom w:val="0"/>
      <w:divBdr>
        <w:top w:val="none" w:sz="0" w:space="0" w:color="auto"/>
        <w:left w:val="none" w:sz="0" w:space="0" w:color="auto"/>
        <w:bottom w:val="none" w:sz="0" w:space="0" w:color="auto"/>
        <w:right w:val="none" w:sz="0" w:space="0" w:color="auto"/>
      </w:divBdr>
    </w:div>
    <w:div w:id="1260526714">
      <w:bodyDiv w:val="1"/>
      <w:marLeft w:val="0"/>
      <w:marRight w:val="0"/>
      <w:marTop w:val="0"/>
      <w:marBottom w:val="0"/>
      <w:divBdr>
        <w:top w:val="none" w:sz="0" w:space="0" w:color="auto"/>
        <w:left w:val="none" w:sz="0" w:space="0" w:color="auto"/>
        <w:bottom w:val="none" w:sz="0" w:space="0" w:color="auto"/>
        <w:right w:val="none" w:sz="0" w:space="0" w:color="auto"/>
      </w:divBdr>
    </w:div>
    <w:div w:id="1394037714">
      <w:bodyDiv w:val="1"/>
      <w:marLeft w:val="0"/>
      <w:marRight w:val="0"/>
      <w:marTop w:val="0"/>
      <w:marBottom w:val="0"/>
      <w:divBdr>
        <w:top w:val="none" w:sz="0" w:space="0" w:color="auto"/>
        <w:left w:val="none" w:sz="0" w:space="0" w:color="auto"/>
        <w:bottom w:val="none" w:sz="0" w:space="0" w:color="auto"/>
        <w:right w:val="none" w:sz="0" w:space="0" w:color="auto"/>
      </w:divBdr>
    </w:div>
    <w:div w:id="1396734116">
      <w:bodyDiv w:val="1"/>
      <w:marLeft w:val="0"/>
      <w:marRight w:val="0"/>
      <w:marTop w:val="0"/>
      <w:marBottom w:val="0"/>
      <w:divBdr>
        <w:top w:val="none" w:sz="0" w:space="0" w:color="auto"/>
        <w:left w:val="none" w:sz="0" w:space="0" w:color="auto"/>
        <w:bottom w:val="none" w:sz="0" w:space="0" w:color="auto"/>
        <w:right w:val="none" w:sz="0" w:space="0" w:color="auto"/>
      </w:divBdr>
    </w:div>
    <w:div w:id="1422918885">
      <w:bodyDiv w:val="1"/>
      <w:marLeft w:val="0"/>
      <w:marRight w:val="0"/>
      <w:marTop w:val="0"/>
      <w:marBottom w:val="0"/>
      <w:divBdr>
        <w:top w:val="none" w:sz="0" w:space="0" w:color="auto"/>
        <w:left w:val="none" w:sz="0" w:space="0" w:color="auto"/>
        <w:bottom w:val="none" w:sz="0" w:space="0" w:color="auto"/>
        <w:right w:val="none" w:sz="0" w:space="0" w:color="auto"/>
      </w:divBdr>
    </w:div>
    <w:div w:id="1428961371">
      <w:bodyDiv w:val="1"/>
      <w:marLeft w:val="0"/>
      <w:marRight w:val="0"/>
      <w:marTop w:val="0"/>
      <w:marBottom w:val="0"/>
      <w:divBdr>
        <w:top w:val="none" w:sz="0" w:space="0" w:color="auto"/>
        <w:left w:val="none" w:sz="0" w:space="0" w:color="auto"/>
        <w:bottom w:val="none" w:sz="0" w:space="0" w:color="auto"/>
        <w:right w:val="none" w:sz="0" w:space="0" w:color="auto"/>
      </w:divBdr>
    </w:div>
    <w:div w:id="1473869235">
      <w:bodyDiv w:val="1"/>
      <w:marLeft w:val="0"/>
      <w:marRight w:val="0"/>
      <w:marTop w:val="0"/>
      <w:marBottom w:val="0"/>
      <w:divBdr>
        <w:top w:val="none" w:sz="0" w:space="0" w:color="auto"/>
        <w:left w:val="none" w:sz="0" w:space="0" w:color="auto"/>
        <w:bottom w:val="none" w:sz="0" w:space="0" w:color="auto"/>
        <w:right w:val="none" w:sz="0" w:space="0" w:color="auto"/>
      </w:divBdr>
    </w:div>
    <w:div w:id="1511484354">
      <w:bodyDiv w:val="1"/>
      <w:marLeft w:val="0"/>
      <w:marRight w:val="0"/>
      <w:marTop w:val="0"/>
      <w:marBottom w:val="0"/>
      <w:divBdr>
        <w:top w:val="none" w:sz="0" w:space="0" w:color="auto"/>
        <w:left w:val="none" w:sz="0" w:space="0" w:color="auto"/>
        <w:bottom w:val="none" w:sz="0" w:space="0" w:color="auto"/>
        <w:right w:val="none" w:sz="0" w:space="0" w:color="auto"/>
      </w:divBdr>
    </w:div>
    <w:div w:id="1555968788">
      <w:bodyDiv w:val="1"/>
      <w:marLeft w:val="0"/>
      <w:marRight w:val="0"/>
      <w:marTop w:val="0"/>
      <w:marBottom w:val="0"/>
      <w:divBdr>
        <w:top w:val="none" w:sz="0" w:space="0" w:color="auto"/>
        <w:left w:val="none" w:sz="0" w:space="0" w:color="auto"/>
        <w:bottom w:val="none" w:sz="0" w:space="0" w:color="auto"/>
        <w:right w:val="none" w:sz="0" w:space="0" w:color="auto"/>
      </w:divBdr>
    </w:div>
    <w:div w:id="1586495994">
      <w:bodyDiv w:val="1"/>
      <w:marLeft w:val="0"/>
      <w:marRight w:val="0"/>
      <w:marTop w:val="0"/>
      <w:marBottom w:val="0"/>
      <w:divBdr>
        <w:top w:val="none" w:sz="0" w:space="0" w:color="auto"/>
        <w:left w:val="none" w:sz="0" w:space="0" w:color="auto"/>
        <w:bottom w:val="none" w:sz="0" w:space="0" w:color="auto"/>
        <w:right w:val="none" w:sz="0" w:space="0" w:color="auto"/>
      </w:divBdr>
    </w:div>
    <w:div w:id="1604727639">
      <w:bodyDiv w:val="1"/>
      <w:marLeft w:val="0"/>
      <w:marRight w:val="0"/>
      <w:marTop w:val="0"/>
      <w:marBottom w:val="0"/>
      <w:divBdr>
        <w:top w:val="none" w:sz="0" w:space="0" w:color="auto"/>
        <w:left w:val="none" w:sz="0" w:space="0" w:color="auto"/>
        <w:bottom w:val="none" w:sz="0" w:space="0" w:color="auto"/>
        <w:right w:val="none" w:sz="0" w:space="0" w:color="auto"/>
      </w:divBdr>
    </w:div>
    <w:div w:id="1652172578">
      <w:bodyDiv w:val="1"/>
      <w:marLeft w:val="0"/>
      <w:marRight w:val="0"/>
      <w:marTop w:val="0"/>
      <w:marBottom w:val="0"/>
      <w:divBdr>
        <w:top w:val="none" w:sz="0" w:space="0" w:color="auto"/>
        <w:left w:val="none" w:sz="0" w:space="0" w:color="auto"/>
        <w:bottom w:val="none" w:sz="0" w:space="0" w:color="auto"/>
        <w:right w:val="none" w:sz="0" w:space="0" w:color="auto"/>
      </w:divBdr>
    </w:div>
    <w:div w:id="1655989000">
      <w:bodyDiv w:val="1"/>
      <w:marLeft w:val="0"/>
      <w:marRight w:val="0"/>
      <w:marTop w:val="0"/>
      <w:marBottom w:val="0"/>
      <w:divBdr>
        <w:top w:val="none" w:sz="0" w:space="0" w:color="auto"/>
        <w:left w:val="none" w:sz="0" w:space="0" w:color="auto"/>
        <w:bottom w:val="none" w:sz="0" w:space="0" w:color="auto"/>
        <w:right w:val="none" w:sz="0" w:space="0" w:color="auto"/>
      </w:divBdr>
    </w:div>
    <w:div w:id="1671443962">
      <w:bodyDiv w:val="1"/>
      <w:marLeft w:val="0"/>
      <w:marRight w:val="0"/>
      <w:marTop w:val="0"/>
      <w:marBottom w:val="0"/>
      <w:divBdr>
        <w:top w:val="none" w:sz="0" w:space="0" w:color="auto"/>
        <w:left w:val="none" w:sz="0" w:space="0" w:color="auto"/>
        <w:bottom w:val="none" w:sz="0" w:space="0" w:color="auto"/>
        <w:right w:val="none" w:sz="0" w:space="0" w:color="auto"/>
      </w:divBdr>
    </w:div>
    <w:div w:id="1674915519">
      <w:bodyDiv w:val="1"/>
      <w:marLeft w:val="0"/>
      <w:marRight w:val="0"/>
      <w:marTop w:val="0"/>
      <w:marBottom w:val="0"/>
      <w:divBdr>
        <w:top w:val="none" w:sz="0" w:space="0" w:color="auto"/>
        <w:left w:val="none" w:sz="0" w:space="0" w:color="auto"/>
        <w:bottom w:val="none" w:sz="0" w:space="0" w:color="auto"/>
        <w:right w:val="none" w:sz="0" w:space="0" w:color="auto"/>
      </w:divBdr>
    </w:div>
    <w:div w:id="1739861638">
      <w:bodyDiv w:val="1"/>
      <w:marLeft w:val="0"/>
      <w:marRight w:val="0"/>
      <w:marTop w:val="0"/>
      <w:marBottom w:val="0"/>
      <w:divBdr>
        <w:top w:val="none" w:sz="0" w:space="0" w:color="auto"/>
        <w:left w:val="none" w:sz="0" w:space="0" w:color="auto"/>
        <w:bottom w:val="none" w:sz="0" w:space="0" w:color="auto"/>
        <w:right w:val="none" w:sz="0" w:space="0" w:color="auto"/>
      </w:divBdr>
    </w:div>
    <w:div w:id="1751729862">
      <w:bodyDiv w:val="1"/>
      <w:marLeft w:val="0"/>
      <w:marRight w:val="0"/>
      <w:marTop w:val="0"/>
      <w:marBottom w:val="0"/>
      <w:divBdr>
        <w:top w:val="none" w:sz="0" w:space="0" w:color="auto"/>
        <w:left w:val="none" w:sz="0" w:space="0" w:color="auto"/>
        <w:bottom w:val="none" w:sz="0" w:space="0" w:color="auto"/>
        <w:right w:val="none" w:sz="0" w:space="0" w:color="auto"/>
      </w:divBdr>
    </w:div>
    <w:div w:id="1758212056">
      <w:bodyDiv w:val="1"/>
      <w:marLeft w:val="0"/>
      <w:marRight w:val="0"/>
      <w:marTop w:val="0"/>
      <w:marBottom w:val="0"/>
      <w:divBdr>
        <w:top w:val="none" w:sz="0" w:space="0" w:color="auto"/>
        <w:left w:val="none" w:sz="0" w:space="0" w:color="auto"/>
        <w:bottom w:val="none" w:sz="0" w:space="0" w:color="auto"/>
        <w:right w:val="none" w:sz="0" w:space="0" w:color="auto"/>
      </w:divBdr>
    </w:div>
    <w:div w:id="1766613838">
      <w:bodyDiv w:val="1"/>
      <w:marLeft w:val="0"/>
      <w:marRight w:val="0"/>
      <w:marTop w:val="0"/>
      <w:marBottom w:val="0"/>
      <w:divBdr>
        <w:top w:val="none" w:sz="0" w:space="0" w:color="auto"/>
        <w:left w:val="none" w:sz="0" w:space="0" w:color="auto"/>
        <w:bottom w:val="none" w:sz="0" w:space="0" w:color="auto"/>
        <w:right w:val="none" w:sz="0" w:space="0" w:color="auto"/>
      </w:divBdr>
    </w:div>
    <w:div w:id="1944485801">
      <w:bodyDiv w:val="1"/>
      <w:marLeft w:val="0"/>
      <w:marRight w:val="0"/>
      <w:marTop w:val="0"/>
      <w:marBottom w:val="0"/>
      <w:divBdr>
        <w:top w:val="none" w:sz="0" w:space="0" w:color="auto"/>
        <w:left w:val="none" w:sz="0" w:space="0" w:color="auto"/>
        <w:bottom w:val="none" w:sz="0" w:space="0" w:color="auto"/>
        <w:right w:val="none" w:sz="0" w:space="0" w:color="auto"/>
      </w:divBdr>
    </w:div>
    <w:div w:id="1951431879">
      <w:bodyDiv w:val="1"/>
      <w:marLeft w:val="0"/>
      <w:marRight w:val="0"/>
      <w:marTop w:val="0"/>
      <w:marBottom w:val="0"/>
      <w:divBdr>
        <w:top w:val="none" w:sz="0" w:space="0" w:color="auto"/>
        <w:left w:val="none" w:sz="0" w:space="0" w:color="auto"/>
        <w:bottom w:val="none" w:sz="0" w:space="0" w:color="auto"/>
        <w:right w:val="none" w:sz="0" w:space="0" w:color="auto"/>
      </w:divBdr>
    </w:div>
    <w:div w:id="1972006413">
      <w:bodyDiv w:val="1"/>
      <w:marLeft w:val="0"/>
      <w:marRight w:val="0"/>
      <w:marTop w:val="0"/>
      <w:marBottom w:val="0"/>
      <w:divBdr>
        <w:top w:val="none" w:sz="0" w:space="0" w:color="auto"/>
        <w:left w:val="none" w:sz="0" w:space="0" w:color="auto"/>
        <w:bottom w:val="none" w:sz="0" w:space="0" w:color="auto"/>
        <w:right w:val="none" w:sz="0" w:space="0" w:color="auto"/>
      </w:divBdr>
    </w:div>
    <w:div w:id="20492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ndbook.cochra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4442</Words>
  <Characters>23991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DE LOURDES SA</dc:creator>
  <cp:keywords/>
  <dc:description/>
  <cp:lastModifiedBy>ANA DE LOURDES SA</cp:lastModifiedBy>
  <cp:revision>3</cp:revision>
  <dcterms:created xsi:type="dcterms:W3CDTF">2018-08-01T19:37:00Z</dcterms:created>
  <dcterms:modified xsi:type="dcterms:W3CDTF">2018-10-04T11:13:00Z</dcterms:modified>
</cp:coreProperties>
</file>