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EA" w:rsidRP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A159EA">
        <w:rPr>
          <w:rFonts w:asciiTheme="majorBidi" w:hAnsiTheme="majorBidi" w:cstheme="majorBidi"/>
          <w:b/>
          <w:bCs/>
          <w:sz w:val="32"/>
          <w:szCs w:val="32"/>
          <w:lang w:val="en-US"/>
        </w:rPr>
        <w:t>An in vitro comparison of the apical microleakage of various root canal sealers</w:t>
      </w:r>
    </w:p>
    <w:p w:rsidR="00A159EA" w:rsidRP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A159EA" w:rsidRP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Dr </w:t>
      </w:r>
      <w:proofErr w:type="spellStart"/>
      <w:r w:rsidRPr="00A159EA">
        <w:rPr>
          <w:rFonts w:asciiTheme="majorBidi" w:hAnsiTheme="majorBidi" w:cstheme="majorBidi"/>
          <w:sz w:val="24"/>
          <w:szCs w:val="24"/>
          <w:lang w:val="en-US"/>
        </w:rPr>
        <w:t>Saideh</w:t>
      </w:r>
      <w:proofErr w:type="spellEnd"/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 Galledar</w:t>
      </w: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, Dr </w:t>
      </w:r>
      <w:proofErr w:type="spellStart"/>
      <w:r w:rsidRPr="00A159EA">
        <w:rPr>
          <w:rFonts w:asciiTheme="majorBidi" w:hAnsiTheme="majorBidi" w:cstheme="majorBidi"/>
          <w:sz w:val="24"/>
          <w:szCs w:val="24"/>
          <w:lang w:val="en-US"/>
        </w:rPr>
        <w:t>robab</w:t>
      </w:r>
      <w:proofErr w:type="spellEnd"/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 Farhang</w:t>
      </w: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>, Malek Abazari</w:t>
      </w: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, Dr </w:t>
      </w:r>
      <w:proofErr w:type="spellStart"/>
      <w:r w:rsidRPr="00A159EA">
        <w:rPr>
          <w:rFonts w:asciiTheme="majorBidi" w:hAnsiTheme="majorBidi" w:cstheme="majorBidi"/>
          <w:sz w:val="24"/>
          <w:szCs w:val="24"/>
          <w:lang w:val="en-US"/>
        </w:rPr>
        <w:t>parisa</w:t>
      </w:r>
      <w:proofErr w:type="spellEnd"/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 Negahdar</w:t>
      </w: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</w:p>
    <w:p w:rsidR="00A159EA" w:rsidRP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 Assistant professor, department of endodontics, faculty of dentistry, Ardabil university of medical science, Ardabil, Iran </w:t>
      </w: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 xml:space="preserve"> Assistant professor, department of endodontics, faculty of dentistry, Ardabil university of medical science, Ardabil, Iran </w:t>
      </w: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A159EA">
        <w:rPr>
          <w:rFonts w:asciiTheme="majorBidi" w:hAnsiTheme="majorBidi" w:cstheme="majorBidi"/>
          <w:sz w:val="24"/>
          <w:szCs w:val="24"/>
          <w:lang w:val="en-US"/>
        </w:rPr>
        <w:t>Department of public Health, school of health, Ardabil university of medical science, Ardabil, Iran</w:t>
      </w: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color w:val="333333"/>
          <w:sz w:val="24"/>
          <w:szCs w:val="24"/>
          <w:vertAlign w:val="superscript"/>
          <w:lang w:val="en-US"/>
        </w:rPr>
        <w:t>4</w:t>
      </w:r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Postgraduate student, Department of oral &amp; maxillofacial </w:t>
      </w:r>
      <w:proofErr w:type="gramStart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Radiology ,</w:t>
      </w:r>
      <w:proofErr w:type="gramEnd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School of Dentistry</w:t>
      </w:r>
      <w:r>
        <w:rPr>
          <w:rFonts w:asciiTheme="majorBidi" w:hAnsiTheme="majorBidi" w:cstheme="majorBidi"/>
          <w:color w:val="333333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color w:val="333333"/>
          <w:sz w:val="24"/>
          <w:szCs w:val="24"/>
          <w:rtl/>
        </w:rPr>
        <w:t xml:space="preserve"> </w:t>
      </w:r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Isfahan</w:t>
      </w:r>
      <w:r>
        <w:rPr>
          <w:rFonts w:asciiTheme="majorBidi" w:hAnsiTheme="majorBidi" w:cstheme="majorBidi" w:hint="cs"/>
          <w:color w:val="333333"/>
          <w:sz w:val="24"/>
          <w:szCs w:val="24"/>
          <w:rtl/>
        </w:rPr>
        <w:t xml:space="preserve">  </w:t>
      </w:r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(</w:t>
      </w:r>
      <w:proofErr w:type="spellStart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Khorasgan</w:t>
      </w:r>
      <w:proofErr w:type="spellEnd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)</w:t>
      </w:r>
      <w:r>
        <w:rPr>
          <w:rFonts w:asciiTheme="majorBidi" w:hAnsiTheme="majorBidi" w:cstheme="majorBidi" w:hint="cs"/>
          <w:color w:val="333333"/>
          <w:sz w:val="24"/>
          <w:szCs w:val="24"/>
          <w:rtl/>
        </w:rPr>
        <w:t xml:space="preserve"> </w:t>
      </w:r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Branch ,Islamic Azad University, Isfahan, Iran</w:t>
      </w: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Corresponding Author: Dr Parisa </w:t>
      </w:r>
      <w:proofErr w:type="spellStart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Negahdar</w:t>
      </w:r>
      <w:proofErr w:type="spellEnd"/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A159EA" w:rsidRPr="00A159EA" w:rsidRDefault="00A159EA" w:rsidP="00A159EA">
      <w:pPr>
        <w:spacing w:after="0" w:line="276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proofErr w:type="gramStart"/>
      <w:r w:rsidRPr="00A159EA">
        <w:rPr>
          <w:rFonts w:asciiTheme="majorBidi" w:hAnsiTheme="majorBidi" w:cstheme="majorBidi"/>
          <w:color w:val="333333"/>
          <w:sz w:val="24"/>
          <w:szCs w:val="24"/>
          <w:lang w:val="en-US"/>
        </w:rPr>
        <w:t>Email:parisa.negahdar1991@gmail.com</w:t>
      </w:r>
      <w:proofErr w:type="gramEnd"/>
    </w:p>
    <w:p w:rsidR="00A159EA" w:rsidRDefault="00A159EA" w:rsidP="00A159EA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33333"/>
          <w:sz w:val="24"/>
          <w:szCs w:val="24"/>
        </w:rPr>
        <w:t>Phone:09305744342</w:t>
      </w:r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A159EA" w:rsidRDefault="00A159EA" w:rsidP="00A159E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C6171" w:rsidRPr="00A159EA" w:rsidRDefault="00A159EA" w:rsidP="00A159EA"/>
    <w:sectPr w:rsidR="002C6171" w:rsidRPr="00A15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EA"/>
    <w:rsid w:val="001B6C9B"/>
    <w:rsid w:val="00552AFD"/>
    <w:rsid w:val="00A159EA"/>
    <w:rsid w:val="00BA1689"/>
    <w:rsid w:val="00D57257"/>
    <w:rsid w:val="00E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F8A4F-6ACF-4F9B-A076-682B6043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Lopes</dc:creator>
  <cp:keywords/>
  <dc:description/>
  <cp:lastModifiedBy>Rafael Lopes</cp:lastModifiedBy>
  <cp:revision>1</cp:revision>
  <dcterms:created xsi:type="dcterms:W3CDTF">2019-10-08T19:13:00Z</dcterms:created>
  <dcterms:modified xsi:type="dcterms:W3CDTF">2019-10-08T19:14:00Z</dcterms:modified>
</cp:coreProperties>
</file>