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B5" w:rsidRPr="00C123C3" w:rsidRDefault="004D480B" w:rsidP="00C123C3">
      <w:pPr>
        <w:bidi w:val="0"/>
        <w:spacing w:line="480" w:lineRule="auto"/>
        <w:rPr>
          <w:rFonts w:ascii="Arial" w:hAnsi="Arial" w:cs="Arial"/>
          <w:b/>
          <w:bCs/>
          <w:sz w:val="24"/>
          <w:szCs w:val="24"/>
        </w:rPr>
      </w:pPr>
      <w:r w:rsidRPr="00C123C3">
        <w:rPr>
          <w:rFonts w:ascii="Arial" w:hAnsi="Arial" w:cs="Arial"/>
          <w:b/>
          <w:bCs/>
          <w:sz w:val="24"/>
          <w:szCs w:val="24"/>
        </w:rPr>
        <w:t xml:space="preserve">Concomitant using of topical carrageenan-kappa and oral vitamin D against </w:t>
      </w:r>
      <w:r w:rsidRPr="00C123C3">
        <w:rPr>
          <w:rFonts w:ascii="Arial" w:hAnsi="Arial" w:cs="Arial"/>
          <w:b/>
          <w:bCs/>
          <w:color w:val="000000"/>
          <w:sz w:val="24"/>
          <w:szCs w:val="24"/>
          <w:shd w:val="clear" w:color="auto" w:fill="FFFFFF"/>
        </w:rPr>
        <w:t>7, 12-dimethylbenz[a]anthracene</w:t>
      </w:r>
      <w:r w:rsidRPr="00C123C3">
        <w:rPr>
          <w:rFonts w:ascii="Arial" w:hAnsi="Arial" w:cs="Arial"/>
          <w:b/>
          <w:bCs/>
          <w:sz w:val="24"/>
          <w:szCs w:val="24"/>
        </w:rPr>
        <w:t xml:space="preserve"> induced-oral cancer in rats: A synergism or an antagonism effects</w:t>
      </w:r>
    </w:p>
    <w:p w:rsidR="006F2640" w:rsidRPr="00C123C3" w:rsidRDefault="006F2640" w:rsidP="00C123C3">
      <w:pPr>
        <w:bidi w:val="0"/>
        <w:spacing w:line="480" w:lineRule="auto"/>
        <w:rPr>
          <w:rFonts w:ascii="Arial" w:hAnsi="Arial" w:cs="Arial"/>
          <w:sz w:val="24"/>
          <w:szCs w:val="24"/>
        </w:rPr>
      </w:pPr>
    </w:p>
    <w:p w:rsidR="006F2640" w:rsidRPr="00C123C3" w:rsidRDefault="006609AB" w:rsidP="00C123C3">
      <w:pPr>
        <w:bidi w:val="0"/>
        <w:spacing w:line="480" w:lineRule="auto"/>
        <w:rPr>
          <w:rFonts w:ascii="Arial" w:hAnsi="Arial" w:cs="Arial"/>
          <w:b/>
          <w:bCs/>
          <w:sz w:val="24"/>
          <w:szCs w:val="24"/>
        </w:rPr>
      </w:pPr>
      <w:r w:rsidRPr="00C123C3">
        <w:rPr>
          <w:rFonts w:ascii="Arial" w:hAnsi="Arial" w:cs="Arial"/>
          <w:b/>
          <w:bCs/>
          <w:sz w:val="24"/>
          <w:szCs w:val="24"/>
        </w:rPr>
        <w:t>ABSTRACT</w:t>
      </w:r>
    </w:p>
    <w:p w:rsidR="006F2640" w:rsidRPr="00C123C3" w:rsidRDefault="006F2640" w:rsidP="00C123C3">
      <w:pPr>
        <w:bidi w:val="0"/>
        <w:spacing w:line="480" w:lineRule="auto"/>
        <w:jc w:val="lowKashida"/>
        <w:rPr>
          <w:rFonts w:ascii="Arial" w:hAnsi="Arial" w:cs="Arial"/>
          <w:sz w:val="24"/>
          <w:szCs w:val="24"/>
        </w:rPr>
      </w:pPr>
      <w:r w:rsidRPr="00C123C3">
        <w:rPr>
          <w:rFonts w:ascii="Arial" w:hAnsi="Arial" w:cs="Arial"/>
          <w:b/>
          <w:bCs/>
          <w:sz w:val="24"/>
          <w:szCs w:val="24"/>
        </w:rPr>
        <w:t>Objective:</w:t>
      </w:r>
      <w:r w:rsidRPr="00C123C3">
        <w:rPr>
          <w:rFonts w:ascii="Arial" w:hAnsi="Arial" w:cs="Arial"/>
          <w:sz w:val="24"/>
          <w:szCs w:val="24"/>
        </w:rPr>
        <w:t xml:space="preserve"> </w:t>
      </w:r>
      <w:r w:rsidR="0069370A" w:rsidRPr="00C123C3">
        <w:rPr>
          <w:rFonts w:ascii="Arial" w:eastAsia="ComputerModern-Regular" w:hAnsi="Arial" w:cs="Arial"/>
          <w:sz w:val="24"/>
          <w:szCs w:val="24"/>
        </w:rPr>
        <w:t>κ-carrageenan</w:t>
      </w:r>
      <w:r w:rsidR="0069370A" w:rsidRPr="00C123C3">
        <w:rPr>
          <w:rFonts w:ascii="Arial" w:hAnsi="Arial" w:cs="Arial"/>
          <w:sz w:val="24"/>
          <w:szCs w:val="24"/>
        </w:rPr>
        <w:t xml:space="preserve"> is a food stabilizer agent which has an antiproliferative effect, while vitamin D is a prohormone acts on the nuclear receptor and has a cytotoxic against cancer. </w:t>
      </w:r>
      <w:r w:rsidRPr="00C123C3">
        <w:rPr>
          <w:rFonts w:ascii="Arial" w:hAnsi="Arial" w:cs="Arial"/>
          <w:sz w:val="24"/>
          <w:szCs w:val="24"/>
        </w:rPr>
        <w:t xml:space="preserve">This study aimed to show the synergistic effect of using topical κ-carrageenan and oral administration of the vitamin D on the </w:t>
      </w:r>
      <w:r w:rsidRPr="00C123C3">
        <w:rPr>
          <w:rFonts w:ascii="Arial" w:hAnsi="Arial" w:cs="Arial"/>
          <w:color w:val="000000"/>
          <w:sz w:val="24"/>
          <w:szCs w:val="24"/>
          <w:shd w:val="clear" w:color="auto" w:fill="FFFFFF"/>
        </w:rPr>
        <w:t>7, 12-dimethylbenz[a] anthracene</w:t>
      </w:r>
      <w:r w:rsidRPr="00C123C3">
        <w:rPr>
          <w:rFonts w:ascii="Arial" w:hAnsi="Arial" w:cs="Arial"/>
          <w:sz w:val="24"/>
          <w:szCs w:val="24"/>
        </w:rPr>
        <w:t xml:space="preserve"> (DMBA)-induced oral cancer.</w:t>
      </w:r>
    </w:p>
    <w:p w:rsidR="00776E4A" w:rsidRPr="00C123C3" w:rsidRDefault="0069370A" w:rsidP="00C123C3">
      <w:pPr>
        <w:bidi w:val="0"/>
        <w:spacing w:line="480" w:lineRule="auto"/>
        <w:jc w:val="lowKashida"/>
        <w:rPr>
          <w:rFonts w:ascii="Arial" w:hAnsi="Arial" w:cs="Arial"/>
          <w:sz w:val="24"/>
          <w:szCs w:val="24"/>
        </w:rPr>
      </w:pPr>
      <w:r w:rsidRPr="00C123C3">
        <w:rPr>
          <w:rFonts w:ascii="Arial" w:hAnsi="Arial" w:cs="Arial"/>
          <w:b/>
          <w:bCs/>
          <w:sz w:val="24"/>
          <w:szCs w:val="24"/>
        </w:rPr>
        <w:t>M</w:t>
      </w:r>
      <w:r w:rsidR="006609AB" w:rsidRPr="00C123C3">
        <w:rPr>
          <w:rFonts w:ascii="Arial" w:hAnsi="Arial" w:cs="Arial"/>
          <w:b/>
          <w:bCs/>
          <w:sz w:val="24"/>
          <w:szCs w:val="24"/>
        </w:rPr>
        <w:t>aterial and Methods</w:t>
      </w:r>
      <w:r w:rsidR="006F2640" w:rsidRPr="00C123C3">
        <w:rPr>
          <w:rFonts w:ascii="Arial" w:hAnsi="Arial" w:cs="Arial"/>
          <w:b/>
          <w:bCs/>
          <w:sz w:val="24"/>
          <w:szCs w:val="24"/>
        </w:rPr>
        <w:t xml:space="preserve">: </w:t>
      </w:r>
      <w:r w:rsidR="006F2640" w:rsidRPr="00C123C3">
        <w:rPr>
          <w:rFonts w:ascii="Arial" w:hAnsi="Arial" w:cs="Arial"/>
          <w:sz w:val="24"/>
          <w:szCs w:val="24"/>
        </w:rPr>
        <w:t xml:space="preserve">fifty four male albino rats were randomly divided into seven groups: Acetone-treated </w:t>
      </w:r>
      <w:r w:rsidR="00776E4A" w:rsidRPr="00C123C3">
        <w:rPr>
          <w:rFonts w:ascii="Arial" w:hAnsi="Arial" w:cs="Arial"/>
          <w:sz w:val="24"/>
          <w:szCs w:val="24"/>
        </w:rPr>
        <w:t xml:space="preserve">served as control (Group I), </w:t>
      </w:r>
      <w:r w:rsidR="006F2640" w:rsidRPr="00C123C3">
        <w:rPr>
          <w:rFonts w:ascii="Arial" w:hAnsi="Arial" w:cs="Arial"/>
          <w:sz w:val="24"/>
          <w:szCs w:val="24"/>
        </w:rPr>
        <w:t>vitamin D</w:t>
      </w:r>
      <w:r w:rsidR="00776E4A" w:rsidRPr="00C123C3">
        <w:rPr>
          <w:rFonts w:ascii="Arial" w:hAnsi="Arial" w:cs="Arial"/>
          <w:sz w:val="24"/>
          <w:szCs w:val="24"/>
        </w:rPr>
        <w:t xml:space="preserve"> (5000UI)-treated (Group II), </w:t>
      </w:r>
      <w:r w:rsidR="00776E4A" w:rsidRPr="00C123C3">
        <w:rPr>
          <w:rFonts w:ascii="Arial" w:hAnsi="Arial" w:cs="Arial"/>
          <w:color w:val="000000"/>
          <w:sz w:val="24"/>
          <w:szCs w:val="24"/>
        </w:rPr>
        <w:t>κ-carrageenan (1%)- treated (Group III)</w:t>
      </w:r>
      <w:r w:rsidR="00776E4A" w:rsidRPr="00C123C3">
        <w:rPr>
          <w:rFonts w:ascii="Arial" w:hAnsi="Arial" w:cs="Arial"/>
          <w:sz w:val="24"/>
          <w:szCs w:val="24"/>
        </w:rPr>
        <w:t xml:space="preserve">, DMBA (0.5%)-treated (Group IV), </w:t>
      </w:r>
      <w:r w:rsidR="006F2640" w:rsidRPr="00C123C3">
        <w:rPr>
          <w:rFonts w:ascii="Arial" w:hAnsi="Arial" w:cs="Arial"/>
          <w:sz w:val="24"/>
          <w:szCs w:val="24"/>
        </w:rPr>
        <w:t>Acetone</w:t>
      </w:r>
      <w:r w:rsidR="00776E4A" w:rsidRPr="00C123C3">
        <w:rPr>
          <w:rFonts w:ascii="Arial" w:hAnsi="Arial" w:cs="Arial"/>
          <w:sz w:val="24"/>
          <w:szCs w:val="24"/>
        </w:rPr>
        <w:t xml:space="preserve">, </w:t>
      </w:r>
      <w:r w:rsidR="00776E4A" w:rsidRPr="00C123C3">
        <w:rPr>
          <w:rFonts w:ascii="Arial" w:hAnsi="Arial" w:cs="Arial"/>
          <w:color w:val="000000"/>
          <w:sz w:val="24"/>
          <w:szCs w:val="24"/>
        </w:rPr>
        <w:t>κ-carrageenan</w:t>
      </w:r>
      <w:r w:rsidR="006F2640" w:rsidRPr="00C123C3">
        <w:rPr>
          <w:rFonts w:ascii="Arial" w:hAnsi="Arial" w:cs="Arial"/>
          <w:sz w:val="24"/>
          <w:szCs w:val="24"/>
        </w:rPr>
        <w:t xml:space="preserve"> and DMBA were administered</w:t>
      </w:r>
      <w:r w:rsidR="00776E4A" w:rsidRPr="00C123C3">
        <w:rPr>
          <w:rFonts w:ascii="Arial" w:hAnsi="Arial" w:cs="Arial"/>
          <w:sz w:val="24"/>
          <w:szCs w:val="24"/>
        </w:rPr>
        <w:t xml:space="preserve"> topically on both cheeks and palate, five times weekly for </w:t>
      </w:r>
      <w:r w:rsidR="006F2640" w:rsidRPr="00C123C3">
        <w:rPr>
          <w:rFonts w:ascii="Arial" w:hAnsi="Arial" w:cs="Arial"/>
          <w:sz w:val="24"/>
          <w:szCs w:val="24"/>
        </w:rPr>
        <w:t>12 weeks</w:t>
      </w:r>
      <w:r w:rsidR="00776E4A" w:rsidRPr="00C123C3">
        <w:rPr>
          <w:rFonts w:ascii="Arial" w:hAnsi="Arial" w:cs="Arial"/>
          <w:sz w:val="24"/>
          <w:szCs w:val="24"/>
        </w:rPr>
        <w:t xml:space="preserve">, </w:t>
      </w:r>
      <w:r w:rsidR="006F2640" w:rsidRPr="00C123C3">
        <w:rPr>
          <w:rFonts w:ascii="Arial" w:hAnsi="Arial" w:cs="Arial"/>
          <w:sz w:val="24"/>
          <w:szCs w:val="24"/>
        </w:rPr>
        <w:t xml:space="preserve">while the </w:t>
      </w:r>
      <w:r w:rsidR="00776E4A" w:rsidRPr="00C123C3">
        <w:rPr>
          <w:rFonts w:ascii="Arial" w:hAnsi="Arial" w:cs="Arial"/>
          <w:sz w:val="24"/>
          <w:szCs w:val="24"/>
        </w:rPr>
        <w:t xml:space="preserve">vitamin D was </w:t>
      </w:r>
      <w:r w:rsidR="006F2640" w:rsidRPr="00C123C3">
        <w:rPr>
          <w:rFonts w:ascii="Arial" w:hAnsi="Arial" w:cs="Arial"/>
          <w:sz w:val="24"/>
          <w:szCs w:val="24"/>
        </w:rPr>
        <w:t xml:space="preserve"> administered</w:t>
      </w:r>
      <w:r w:rsidR="00776E4A" w:rsidRPr="00C123C3">
        <w:rPr>
          <w:rFonts w:ascii="Arial" w:hAnsi="Arial" w:cs="Arial"/>
          <w:sz w:val="24"/>
          <w:szCs w:val="24"/>
        </w:rPr>
        <w:t xml:space="preserve"> orally twice weekly for 12</w:t>
      </w:r>
      <w:r w:rsidR="006F2640" w:rsidRPr="00C123C3">
        <w:rPr>
          <w:rFonts w:ascii="Arial" w:hAnsi="Arial" w:cs="Arial"/>
          <w:sz w:val="24"/>
          <w:szCs w:val="24"/>
        </w:rPr>
        <w:t xml:space="preserve"> weeks</w:t>
      </w:r>
      <w:r w:rsidR="00776E4A" w:rsidRPr="00C123C3">
        <w:rPr>
          <w:rFonts w:ascii="Arial" w:hAnsi="Arial" w:cs="Arial"/>
          <w:sz w:val="24"/>
          <w:szCs w:val="24"/>
        </w:rPr>
        <w:t xml:space="preserve">. Groups V, VI, and VII were animals treated with vitamin D, </w:t>
      </w:r>
      <w:r w:rsidR="00776E4A" w:rsidRPr="00C123C3">
        <w:rPr>
          <w:rFonts w:ascii="Arial" w:hAnsi="Arial" w:cs="Arial"/>
          <w:color w:val="000000"/>
          <w:sz w:val="24"/>
          <w:szCs w:val="24"/>
        </w:rPr>
        <w:t xml:space="preserve">κ-carrageenan, and both vitamin D and κ-carrageenan for 8 weeks after induction of oral cancer. </w:t>
      </w:r>
      <w:r w:rsidR="00274500" w:rsidRPr="00C123C3">
        <w:rPr>
          <w:rFonts w:ascii="Arial" w:hAnsi="Arial" w:cs="Arial"/>
          <w:sz w:val="24"/>
          <w:szCs w:val="24"/>
        </w:rPr>
        <w:t xml:space="preserve">At the end of the study, </w:t>
      </w:r>
      <w:r w:rsidR="00776E4A" w:rsidRPr="00C123C3">
        <w:rPr>
          <w:rFonts w:ascii="Arial" w:hAnsi="Arial" w:cs="Arial"/>
          <w:sz w:val="24"/>
          <w:szCs w:val="24"/>
        </w:rPr>
        <w:t xml:space="preserve">blood samples were obtained by cardiac puncture for determination of </w:t>
      </w:r>
      <w:r w:rsidR="00274500" w:rsidRPr="00C123C3">
        <w:rPr>
          <w:rFonts w:ascii="Arial" w:hAnsi="Arial" w:cs="Arial"/>
          <w:sz w:val="24"/>
          <w:szCs w:val="24"/>
          <w:lang w:bidi="ar-IQ"/>
        </w:rPr>
        <w:t xml:space="preserve">TNF-α and </w:t>
      </w:r>
      <w:r w:rsidR="00776E4A" w:rsidRPr="00C123C3">
        <w:rPr>
          <w:rFonts w:ascii="Arial" w:hAnsi="Arial" w:cs="Arial"/>
          <w:sz w:val="24"/>
          <w:szCs w:val="24"/>
          <w:lang w:bidi="ar-IQ"/>
        </w:rPr>
        <w:t xml:space="preserve">EGFR. </w:t>
      </w:r>
    </w:p>
    <w:p w:rsidR="006027B9" w:rsidRPr="00C123C3" w:rsidRDefault="006609AB" w:rsidP="00C123C3">
      <w:pPr>
        <w:pStyle w:val="desc"/>
        <w:spacing w:before="0" w:beforeAutospacing="0" w:after="0" w:afterAutospacing="0" w:line="480" w:lineRule="auto"/>
        <w:jc w:val="lowKashida"/>
        <w:rPr>
          <w:rFonts w:ascii="Arial" w:hAnsi="Arial" w:cs="Arial"/>
          <w:color w:val="000000" w:themeColor="text1"/>
        </w:rPr>
      </w:pPr>
      <w:r w:rsidRPr="00C123C3">
        <w:rPr>
          <w:rFonts w:ascii="Arial" w:hAnsi="Arial" w:cs="Arial"/>
          <w:b/>
          <w:bCs/>
        </w:rPr>
        <w:t>Results</w:t>
      </w:r>
      <w:r w:rsidR="00274500" w:rsidRPr="00C123C3">
        <w:rPr>
          <w:rFonts w:ascii="Arial" w:hAnsi="Arial" w:cs="Arial"/>
          <w:b/>
          <w:bCs/>
        </w:rPr>
        <w:t>:</w:t>
      </w:r>
      <w:r w:rsidR="006027B9" w:rsidRPr="00C123C3">
        <w:rPr>
          <w:rFonts w:ascii="Arial" w:hAnsi="Arial" w:cs="Arial"/>
          <w:b/>
          <w:bCs/>
        </w:rPr>
        <w:t xml:space="preserve"> </w:t>
      </w:r>
      <w:r w:rsidR="006027B9" w:rsidRPr="00C123C3">
        <w:rPr>
          <w:rFonts w:ascii="Arial" w:hAnsi="Arial" w:cs="Arial"/>
        </w:rPr>
        <w:t>In the groups III and IV, serum EGFR showed significant low levels compared with Group I. In the Group VII, serum EGFR showed a significantly</w:t>
      </w:r>
      <w:r w:rsidR="00BA79D9" w:rsidRPr="00C123C3">
        <w:rPr>
          <w:rFonts w:ascii="Arial" w:hAnsi="Arial" w:cs="Arial"/>
        </w:rPr>
        <w:t xml:space="preserve"> (p=0.014</w:t>
      </w:r>
      <w:r w:rsidR="006027B9" w:rsidRPr="00C123C3">
        <w:rPr>
          <w:rFonts w:ascii="Arial" w:hAnsi="Arial" w:cs="Arial"/>
        </w:rPr>
        <w:t>) low level compared with Group IV (</w:t>
      </w:r>
      <w:r w:rsidR="006027B9" w:rsidRPr="00C123C3">
        <w:rPr>
          <w:rFonts w:ascii="Arial" w:hAnsi="Arial" w:cs="Arial"/>
          <w:color w:val="000000" w:themeColor="text1"/>
        </w:rPr>
        <w:t xml:space="preserve">614.3±69.7 pg/ml versus </w:t>
      </w:r>
      <w:r w:rsidR="006027B9" w:rsidRPr="00C123C3">
        <w:rPr>
          <w:rFonts w:ascii="Arial" w:hAnsi="Arial" w:cs="Arial"/>
          <w:color w:val="000000"/>
        </w:rPr>
        <w:lastRenderedPageBreak/>
        <w:t>882.4±45.6 pg/ml, respectively)</w:t>
      </w:r>
      <w:r w:rsidR="00BA79D9" w:rsidRPr="00C123C3">
        <w:rPr>
          <w:rFonts w:ascii="Arial" w:hAnsi="Arial" w:cs="Arial"/>
          <w:color w:val="000000" w:themeColor="text1"/>
        </w:rPr>
        <w:t>. Higher percentages of high levels of TNF-α were observed in the Groups VI and VII, while a lower percentage of EGFR was observed in the Group VI.</w:t>
      </w:r>
    </w:p>
    <w:p w:rsidR="00BA79D9" w:rsidRPr="00C123C3" w:rsidRDefault="00BA79D9" w:rsidP="00C123C3">
      <w:pPr>
        <w:pStyle w:val="desc"/>
        <w:spacing w:before="0" w:beforeAutospacing="0" w:after="0" w:afterAutospacing="0" w:line="480" w:lineRule="auto"/>
        <w:jc w:val="lowKashida"/>
        <w:rPr>
          <w:rFonts w:ascii="Arial" w:hAnsi="Arial" w:cs="Arial"/>
          <w:color w:val="000000" w:themeColor="text1"/>
        </w:rPr>
      </w:pPr>
    </w:p>
    <w:p w:rsidR="00BA79D9" w:rsidRPr="00C123C3" w:rsidRDefault="00BA79D9" w:rsidP="00C123C3">
      <w:pPr>
        <w:pStyle w:val="desc"/>
        <w:spacing w:before="0" w:beforeAutospacing="0" w:after="0" w:afterAutospacing="0" w:line="480" w:lineRule="auto"/>
        <w:jc w:val="lowKashida"/>
        <w:rPr>
          <w:rFonts w:ascii="Arial" w:hAnsi="Arial" w:cs="Arial"/>
        </w:rPr>
      </w:pPr>
      <w:r w:rsidRPr="00C123C3">
        <w:rPr>
          <w:rFonts w:ascii="Arial" w:hAnsi="Arial" w:cs="Arial"/>
          <w:b/>
          <w:bCs/>
          <w:color w:val="000000" w:themeColor="text1"/>
        </w:rPr>
        <w:t xml:space="preserve">Conclusion: </w:t>
      </w:r>
      <w:r w:rsidRPr="00C123C3">
        <w:rPr>
          <w:rFonts w:ascii="Arial" w:hAnsi="Arial" w:cs="Arial"/>
        </w:rPr>
        <w:t>both κ-carrageenan and vitamin D have</w:t>
      </w:r>
      <w:r w:rsidR="002865CF" w:rsidRPr="00C123C3">
        <w:rPr>
          <w:rFonts w:ascii="Arial" w:hAnsi="Arial" w:cs="Arial"/>
        </w:rPr>
        <w:t xml:space="preserve"> antiproliferative effect against</w:t>
      </w:r>
      <w:r w:rsidRPr="00C123C3">
        <w:rPr>
          <w:rFonts w:ascii="Arial" w:hAnsi="Arial" w:cs="Arial"/>
        </w:rPr>
        <w:t xml:space="preserve"> DMBA-inducing oral cancer by increasing the levels of </w:t>
      </w:r>
      <w:r w:rsidRPr="00C123C3">
        <w:rPr>
          <w:rFonts w:ascii="Arial" w:hAnsi="Arial" w:cs="Arial"/>
          <w:color w:val="000000" w:themeColor="text1"/>
        </w:rPr>
        <w:t>TNF-α</w:t>
      </w:r>
      <w:r w:rsidR="00E70C94" w:rsidRPr="00C123C3">
        <w:rPr>
          <w:rFonts w:ascii="Arial" w:hAnsi="Arial" w:cs="Arial"/>
        </w:rPr>
        <w:t xml:space="preserve"> and suppressing the signal</w:t>
      </w:r>
      <w:r w:rsidRPr="00C123C3">
        <w:rPr>
          <w:rFonts w:ascii="Arial" w:hAnsi="Arial" w:cs="Arial"/>
        </w:rPr>
        <w:t xml:space="preserve">ing pathway of EGFR. Concomitant using κ-carrageenan and vitamin D reduces the antiproliferative effect of each other. </w:t>
      </w:r>
    </w:p>
    <w:p w:rsidR="00BA79D9" w:rsidRPr="00C123C3" w:rsidRDefault="00BA79D9" w:rsidP="00C123C3">
      <w:pPr>
        <w:pStyle w:val="desc"/>
        <w:spacing w:before="0" w:beforeAutospacing="0" w:after="0" w:afterAutospacing="0" w:line="480" w:lineRule="auto"/>
        <w:jc w:val="lowKashida"/>
        <w:rPr>
          <w:rFonts w:ascii="Arial" w:hAnsi="Arial" w:cs="Arial"/>
        </w:rPr>
      </w:pPr>
    </w:p>
    <w:p w:rsidR="00BA79D9" w:rsidRPr="00C123C3" w:rsidRDefault="006609AB" w:rsidP="00C123C3">
      <w:pPr>
        <w:pStyle w:val="desc"/>
        <w:spacing w:before="0" w:beforeAutospacing="0" w:after="0" w:afterAutospacing="0" w:line="480" w:lineRule="auto"/>
        <w:jc w:val="lowKashida"/>
        <w:rPr>
          <w:rFonts w:ascii="Arial" w:hAnsi="Arial" w:cs="Arial"/>
          <w:b/>
          <w:bCs/>
          <w:color w:val="000000" w:themeColor="text1"/>
        </w:rPr>
      </w:pPr>
      <w:r w:rsidRPr="00C123C3">
        <w:rPr>
          <w:rFonts w:ascii="Arial" w:hAnsi="Arial" w:cs="Arial"/>
          <w:b/>
          <w:bCs/>
        </w:rPr>
        <w:t>KEYWORDS</w:t>
      </w:r>
      <w:r w:rsidR="00BA79D9" w:rsidRPr="00C123C3">
        <w:rPr>
          <w:rFonts w:ascii="Arial" w:hAnsi="Arial" w:cs="Arial"/>
          <w:b/>
          <w:bCs/>
        </w:rPr>
        <w:t>:</w:t>
      </w:r>
      <w:r w:rsidR="00BA79D9" w:rsidRPr="00C123C3">
        <w:rPr>
          <w:rFonts w:ascii="Arial" w:hAnsi="Arial" w:cs="Arial"/>
        </w:rPr>
        <w:t xml:space="preserve"> Oral cancer; </w:t>
      </w:r>
      <w:r w:rsidR="00BA79D9" w:rsidRPr="00C123C3">
        <w:rPr>
          <w:rFonts w:ascii="Arial" w:hAnsi="Arial" w:cs="Arial"/>
          <w:color w:val="000000"/>
          <w:shd w:val="clear" w:color="auto" w:fill="FFFFFF"/>
        </w:rPr>
        <w:t xml:space="preserve">7, 12-dimethylbenz[a] anthracene, Vitamin D, </w:t>
      </w:r>
      <w:r w:rsidR="00BA79D9" w:rsidRPr="00C123C3">
        <w:rPr>
          <w:rFonts w:ascii="Arial" w:hAnsi="Arial" w:cs="Arial"/>
          <w:color w:val="000000"/>
        </w:rPr>
        <w:t>κ-carrageenan</w:t>
      </w:r>
      <w:r w:rsidR="00BA79D9" w:rsidRPr="00C123C3">
        <w:rPr>
          <w:rFonts w:ascii="Arial" w:hAnsi="Arial" w:cs="Arial"/>
        </w:rPr>
        <w:t xml:space="preserve">; Epidermal growth factor receptor, Tumor necrosis factor-α  </w:t>
      </w:r>
    </w:p>
    <w:p w:rsidR="007564B0" w:rsidRPr="00C123C3" w:rsidRDefault="007564B0" w:rsidP="00C123C3">
      <w:pPr>
        <w:bidi w:val="0"/>
        <w:spacing w:line="480" w:lineRule="auto"/>
        <w:rPr>
          <w:rFonts w:ascii="Arial" w:hAnsi="Arial" w:cs="Arial"/>
          <w:b/>
          <w:bCs/>
          <w:sz w:val="24"/>
          <w:szCs w:val="24"/>
        </w:rPr>
      </w:pPr>
    </w:p>
    <w:p w:rsidR="00C26084" w:rsidRPr="00C123C3" w:rsidRDefault="006609AB" w:rsidP="00C123C3">
      <w:pPr>
        <w:bidi w:val="0"/>
        <w:spacing w:line="480" w:lineRule="auto"/>
        <w:rPr>
          <w:rFonts w:ascii="Arial" w:hAnsi="Arial" w:cs="Arial"/>
          <w:b/>
          <w:bCs/>
          <w:sz w:val="24"/>
          <w:szCs w:val="24"/>
        </w:rPr>
      </w:pPr>
      <w:r w:rsidRPr="00C123C3">
        <w:rPr>
          <w:rFonts w:ascii="Arial" w:hAnsi="Arial" w:cs="Arial"/>
          <w:b/>
          <w:bCs/>
          <w:sz w:val="24"/>
          <w:szCs w:val="24"/>
        </w:rPr>
        <w:t>INTRODUCTION</w:t>
      </w:r>
    </w:p>
    <w:p w:rsidR="00AD23AB" w:rsidRPr="00C123C3" w:rsidRDefault="00C26084" w:rsidP="00C123C3">
      <w:pPr>
        <w:bidi w:val="0"/>
        <w:spacing w:line="480" w:lineRule="auto"/>
        <w:jc w:val="lowKashida"/>
        <w:rPr>
          <w:rFonts w:ascii="Arial" w:hAnsi="Arial" w:cs="Arial"/>
          <w:sz w:val="24"/>
          <w:szCs w:val="24"/>
        </w:rPr>
      </w:pPr>
      <w:r w:rsidRPr="00C123C3">
        <w:rPr>
          <w:rFonts w:ascii="Arial" w:hAnsi="Arial" w:cs="Arial"/>
          <w:color w:val="000000"/>
          <w:sz w:val="24"/>
          <w:szCs w:val="24"/>
          <w:shd w:val="clear" w:color="auto" w:fill="FFFFFF"/>
        </w:rPr>
        <w:t>7,12-dimethylbenz[a]anthracene</w:t>
      </w:r>
      <w:r w:rsidRPr="00C123C3">
        <w:rPr>
          <w:rFonts w:ascii="Arial" w:hAnsi="Arial" w:cs="Arial"/>
          <w:sz w:val="24"/>
          <w:szCs w:val="24"/>
        </w:rPr>
        <w:t xml:space="preserve"> (DMBA)  is a </w:t>
      </w:r>
      <w:r w:rsidR="00704324" w:rsidRPr="00C123C3">
        <w:rPr>
          <w:rFonts w:ascii="Arial" w:hAnsi="Arial" w:cs="Arial"/>
          <w:sz w:val="24"/>
          <w:szCs w:val="24"/>
        </w:rPr>
        <w:t>carcinogenic chemical substance</w:t>
      </w:r>
      <w:r w:rsidRPr="00C123C3">
        <w:rPr>
          <w:rFonts w:ascii="Arial" w:hAnsi="Arial" w:cs="Arial"/>
          <w:sz w:val="24"/>
          <w:szCs w:val="24"/>
        </w:rPr>
        <w:t xml:space="preserve"> that used expe</w:t>
      </w:r>
      <w:r w:rsidR="00157352" w:rsidRPr="00C123C3">
        <w:rPr>
          <w:rFonts w:ascii="Arial" w:hAnsi="Arial" w:cs="Arial"/>
          <w:sz w:val="24"/>
          <w:szCs w:val="24"/>
        </w:rPr>
        <w:t>rimentally to induce a different</w:t>
      </w:r>
      <w:r w:rsidRPr="00C123C3">
        <w:rPr>
          <w:rFonts w:ascii="Arial" w:hAnsi="Arial" w:cs="Arial"/>
          <w:sz w:val="24"/>
          <w:szCs w:val="24"/>
        </w:rPr>
        <w:t xml:space="preserve"> variety of tumors in an attempt to study the pathogenesis of tumor and to assess the chemotherapeutic agents</w:t>
      </w:r>
      <w:r w:rsidR="006609AB" w:rsidRPr="00C123C3">
        <w:rPr>
          <w:rFonts w:ascii="Arial" w:hAnsi="Arial" w:cs="Arial"/>
          <w:sz w:val="24"/>
          <w:szCs w:val="24"/>
        </w:rPr>
        <w:t xml:space="preserve"> [1-3]</w:t>
      </w:r>
      <w:r w:rsidRPr="00C123C3">
        <w:rPr>
          <w:rFonts w:ascii="Arial" w:hAnsi="Arial" w:cs="Arial"/>
          <w:color w:val="000000" w:themeColor="text1"/>
          <w:sz w:val="24"/>
          <w:szCs w:val="24"/>
        </w:rPr>
        <w:t xml:space="preserve">. Experimentally, several studies showed the effectiveness of many substances in reducing or </w:t>
      </w:r>
      <w:r w:rsidR="00157352" w:rsidRPr="00C123C3">
        <w:rPr>
          <w:rFonts w:ascii="Arial" w:hAnsi="Arial" w:cs="Arial"/>
          <w:color w:val="000000" w:themeColor="text1"/>
          <w:sz w:val="24"/>
          <w:szCs w:val="24"/>
        </w:rPr>
        <w:t>attenuating</w:t>
      </w:r>
      <w:r w:rsidRPr="00C123C3">
        <w:rPr>
          <w:rFonts w:ascii="Arial" w:hAnsi="Arial" w:cs="Arial"/>
          <w:color w:val="000000" w:themeColor="text1"/>
          <w:sz w:val="24"/>
          <w:szCs w:val="24"/>
        </w:rPr>
        <w:t xml:space="preserve"> the effects of DMBA-induced tumorogenesis</w:t>
      </w:r>
      <w:r w:rsidR="00BB5F04" w:rsidRPr="00C123C3">
        <w:rPr>
          <w:rFonts w:ascii="Arial" w:hAnsi="Arial" w:cs="Arial"/>
          <w:color w:val="000000" w:themeColor="text1"/>
          <w:sz w:val="24"/>
          <w:szCs w:val="24"/>
        </w:rPr>
        <w:t xml:space="preserve"> by improving the antioxidant status</w:t>
      </w:r>
      <w:r w:rsidR="00E95B37" w:rsidRPr="00C123C3">
        <w:rPr>
          <w:rFonts w:ascii="Arial" w:hAnsi="Arial" w:cs="Arial"/>
          <w:color w:val="000000" w:themeColor="text1"/>
          <w:sz w:val="24"/>
          <w:szCs w:val="24"/>
        </w:rPr>
        <w:t>,</w:t>
      </w:r>
      <w:r w:rsidR="00BB5F04" w:rsidRPr="00C123C3">
        <w:rPr>
          <w:rFonts w:ascii="Arial" w:hAnsi="Arial" w:cs="Arial"/>
          <w:color w:val="000000" w:themeColor="text1"/>
          <w:sz w:val="24"/>
          <w:szCs w:val="24"/>
        </w:rPr>
        <w:t xml:space="preserve"> augmenting the apoptosis,</w:t>
      </w:r>
      <w:r w:rsidRPr="00C123C3">
        <w:rPr>
          <w:rFonts w:ascii="Arial" w:hAnsi="Arial" w:cs="Arial"/>
          <w:color w:val="000000" w:themeColor="text1"/>
          <w:sz w:val="24"/>
          <w:szCs w:val="24"/>
        </w:rPr>
        <w:t xml:space="preserve"> </w:t>
      </w:r>
      <w:r w:rsidR="00BB5F04" w:rsidRPr="00C123C3">
        <w:rPr>
          <w:rFonts w:ascii="Arial" w:hAnsi="Arial" w:cs="Arial"/>
          <w:color w:val="000000"/>
          <w:sz w:val="24"/>
          <w:szCs w:val="24"/>
        </w:rPr>
        <w:t>inducing antiproliferative, and act</w:t>
      </w:r>
      <w:r w:rsidR="00E95B37" w:rsidRPr="00C123C3">
        <w:rPr>
          <w:rFonts w:ascii="Arial" w:hAnsi="Arial" w:cs="Arial"/>
          <w:color w:val="000000"/>
          <w:sz w:val="24"/>
          <w:szCs w:val="24"/>
        </w:rPr>
        <w:t>ivation of cyto</w:t>
      </w:r>
      <w:r w:rsidR="00C947EB" w:rsidRPr="00C123C3">
        <w:rPr>
          <w:rFonts w:ascii="Arial" w:hAnsi="Arial" w:cs="Arial"/>
          <w:color w:val="000000"/>
          <w:sz w:val="24"/>
          <w:szCs w:val="24"/>
        </w:rPr>
        <w:t>to</w:t>
      </w:r>
      <w:r w:rsidR="00E95B37" w:rsidRPr="00C123C3">
        <w:rPr>
          <w:rFonts w:ascii="Arial" w:hAnsi="Arial" w:cs="Arial"/>
          <w:color w:val="000000"/>
          <w:sz w:val="24"/>
          <w:szCs w:val="24"/>
        </w:rPr>
        <w:t>xic T cell-depen</w:t>
      </w:r>
      <w:r w:rsidR="00BB5F04" w:rsidRPr="00C123C3">
        <w:rPr>
          <w:rFonts w:ascii="Arial" w:hAnsi="Arial" w:cs="Arial"/>
          <w:color w:val="000000"/>
          <w:sz w:val="24"/>
          <w:szCs w:val="24"/>
        </w:rPr>
        <w:t xml:space="preserve">dent tumor regression </w:t>
      </w:r>
      <w:r w:rsidR="006609AB" w:rsidRPr="00C123C3">
        <w:rPr>
          <w:rFonts w:ascii="Arial" w:hAnsi="Arial" w:cs="Arial"/>
          <w:color w:val="000000"/>
          <w:sz w:val="24"/>
          <w:szCs w:val="24"/>
        </w:rPr>
        <w:t>[4-7]</w:t>
      </w:r>
      <w:r w:rsidR="00E95B37" w:rsidRPr="00C123C3">
        <w:rPr>
          <w:rFonts w:ascii="Arial" w:eastAsia="ComputerModern-Regular" w:hAnsi="Arial" w:cs="Arial"/>
          <w:sz w:val="24"/>
          <w:szCs w:val="24"/>
        </w:rPr>
        <w:t>.</w:t>
      </w:r>
      <w:r w:rsidR="00BB5F04" w:rsidRPr="00C123C3">
        <w:rPr>
          <w:rFonts w:ascii="Arial" w:eastAsia="ComputerModern-Regular" w:hAnsi="Arial" w:cs="Arial"/>
          <w:sz w:val="24"/>
          <w:szCs w:val="24"/>
        </w:rPr>
        <w:t xml:space="preserve"> κ-carrageenan</w:t>
      </w:r>
      <w:r w:rsidR="002A4FF2" w:rsidRPr="00C123C3">
        <w:rPr>
          <w:rFonts w:ascii="Arial" w:hAnsi="Arial" w:cs="Arial"/>
          <w:sz w:val="24"/>
          <w:szCs w:val="24"/>
        </w:rPr>
        <w:t xml:space="preserve"> is a food stabilizer agent </w:t>
      </w:r>
      <w:r w:rsidR="00704324" w:rsidRPr="00C123C3">
        <w:rPr>
          <w:rFonts w:ascii="Arial" w:hAnsi="Arial" w:cs="Arial"/>
          <w:sz w:val="24"/>
          <w:szCs w:val="24"/>
        </w:rPr>
        <w:t xml:space="preserve">which used in different pharmaceutical formulation to prepare several compounds </w:t>
      </w:r>
      <w:r w:rsidR="00761F26" w:rsidRPr="00C123C3">
        <w:rPr>
          <w:rFonts w:ascii="Arial" w:hAnsi="Arial" w:cs="Arial"/>
          <w:sz w:val="24"/>
          <w:szCs w:val="24"/>
        </w:rPr>
        <w:t>categorized as</w:t>
      </w:r>
      <w:r w:rsidR="00F45671" w:rsidRPr="00C123C3">
        <w:rPr>
          <w:rFonts w:ascii="Arial" w:hAnsi="Arial" w:cs="Arial"/>
          <w:sz w:val="24"/>
          <w:szCs w:val="24"/>
        </w:rPr>
        <w:t xml:space="preserve"> antioxidant, anti-inflammatory</w:t>
      </w:r>
      <w:r w:rsidR="00FA5B38" w:rsidRPr="00C123C3">
        <w:rPr>
          <w:rFonts w:ascii="Arial" w:hAnsi="Arial" w:cs="Arial"/>
          <w:sz w:val="24"/>
          <w:szCs w:val="24"/>
        </w:rPr>
        <w:t xml:space="preserve">, antiinfective and antiproliferative </w:t>
      </w:r>
      <w:r w:rsidR="006609AB" w:rsidRPr="00C123C3">
        <w:rPr>
          <w:rFonts w:ascii="Arial" w:hAnsi="Arial" w:cs="Arial"/>
          <w:sz w:val="24"/>
          <w:szCs w:val="24"/>
        </w:rPr>
        <w:t>[8-11]</w:t>
      </w:r>
      <w:r w:rsidR="00FA5B38" w:rsidRPr="00C123C3">
        <w:rPr>
          <w:rFonts w:ascii="Arial" w:hAnsi="Arial" w:cs="Arial"/>
          <w:sz w:val="24"/>
          <w:szCs w:val="24"/>
        </w:rPr>
        <w:t xml:space="preserve">. </w:t>
      </w:r>
      <w:r w:rsidR="00673DF8" w:rsidRPr="00C123C3">
        <w:rPr>
          <w:rFonts w:ascii="Arial" w:hAnsi="Arial" w:cs="Arial"/>
          <w:sz w:val="24"/>
          <w:szCs w:val="24"/>
        </w:rPr>
        <w:t>L</w:t>
      </w:r>
      <w:r w:rsidR="00FF4BB2" w:rsidRPr="00C123C3">
        <w:rPr>
          <w:rFonts w:ascii="Arial" w:hAnsi="Arial" w:cs="Arial"/>
          <w:sz w:val="24"/>
          <w:szCs w:val="24"/>
        </w:rPr>
        <w:t xml:space="preserve">ow molecular weight and </w:t>
      </w:r>
      <w:r w:rsidR="00555612" w:rsidRPr="00C123C3">
        <w:rPr>
          <w:rFonts w:ascii="Arial" w:hAnsi="Arial" w:cs="Arial"/>
          <w:sz w:val="24"/>
          <w:szCs w:val="24"/>
        </w:rPr>
        <w:t xml:space="preserve">sulfated </w:t>
      </w:r>
      <w:r w:rsidR="00761F26" w:rsidRPr="00C123C3">
        <w:rPr>
          <w:rFonts w:ascii="Arial" w:hAnsi="Arial" w:cs="Arial"/>
          <w:sz w:val="24"/>
          <w:szCs w:val="24"/>
        </w:rPr>
        <w:t>c</w:t>
      </w:r>
      <w:r w:rsidR="00555612" w:rsidRPr="00C123C3">
        <w:rPr>
          <w:rFonts w:ascii="Arial" w:hAnsi="Arial" w:cs="Arial"/>
          <w:sz w:val="24"/>
          <w:szCs w:val="24"/>
        </w:rPr>
        <w:t>y</w:t>
      </w:r>
      <w:r w:rsidR="00673DF8" w:rsidRPr="00C123C3">
        <w:rPr>
          <w:rFonts w:ascii="Arial" w:hAnsi="Arial" w:cs="Arial"/>
          <w:sz w:val="24"/>
          <w:szCs w:val="24"/>
        </w:rPr>
        <w:t xml:space="preserve">totoxic substances </w:t>
      </w:r>
      <w:r w:rsidR="00157352" w:rsidRPr="00C123C3">
        <w:rPr>
          <w:rFonts w:ascii="Arial" w:hAnsi="Arial" w:cs="Arial"/>
          <w:sz w:val="24"/>
          <w:szCs w:val="24"/>
        </w:rPr>
        <w:t>derived from</w:t>
      </w:r>
      <w:r w:rsidR="00157352" w:rsidRPr="00C123C3">
        <w:rPr>
          <w:rFonts w:ascii="Arial" w:eastAsia="ComputerModern-Regular" w:hAnsi="Arial" w:cs="Arial"/>
          <w:sz w:val="24"/>
          <w:szCs w:val="24"/>
        </w:rPr>
        <w:t xml:space="preserve"> </w:t>
      </w:r>
      <w:r w:rsidR="00555612" w:rsidRPr="00C123C3">
        <w:rPr>
          <w:rFonts w:ascii="Arial" w:eastAsia="ComputerModern-Regular" w:hAnsi="Arial" w:cs="Arial"/>
          <w:sz w:val="24"/>
          <w:szCs w:val="24"/>
        </w:rPr>
        <w:t>carrageenan</w:t>
      </w:r>
      <w:r w:rsidR="00157352" w:rsidRPr="00C123C3">
        <w:rPr>
          <w:rFonts w:ascii="Arial" w:eastAsia="ComputerModern-Regular" w:hAnsi="Arial" w:cs="Arial"/>
          <w:sz w:val="24"/>
          <w:szCs w:val="24"/>
        </w:rPr>
        <w:t xml:space="preserve"> showed </w:t>
      </w:r>
      <w:r w:rsidR="00555612" w:rsidRPr="00C123C3">
        <w:rPr>
          <w:rFonts w:ascii="Arial" w:eastAsia="ComputerModern-Regular" w:hAnsi="Arial" w:cs="Arial"/>
          <w:sz w:val="24"/>
          <w:szCs w:val="24"/>
        </w:rPr>
        <w:t xml:space="preserve">anticancer property </w:t>
      </w:r>
      <w:r w:rsidR="00555612" w:rsidRPr="00C123C3">
        <w:rPr>
          <w:rFonts w:ascii="Arial" w:eastAsia="ComputerModern-Regular" w:hAnsi="Arial" w:cs="Arial"/>
          <w:sz w:val="24"/>
          <w:szCs w:val="24"/>
        </w:rPr>
        <w:lastRenderedPageBreak/>
        <w:t xml:space="preserve">via inducing </w:t>
      </w:r>
      <w:r w:rsidR="00673DF8" w:rsidRPr="00C123C3">
        <w:rPr>
          <w:rFonts w:ascii="Arial" w:eastAsia="ComputerModern-Regular" w:hAnsi="Arial" w:cs="Arial"/>
          <w:sz w:val="24"/>
          <w:szCs w:val="24"/>
        </w:rPr>
        <w:t>apoptosis and inhibiting the</w:t>
      </w:r>
      <w:r w:rsidR="00555612" w:rsidRPr="00C123C3">
        <w:rPr>
          <w:rFonts w:ascii="Arial" w:eastAsia="ComputerModern-Regular" w:hAnsi="Arial" w:cs="Arial"/>
          <w:sz w:val="24"/>
          <w:szCs w:val="24"/>
        </w:rPr>
        <w:t xml:space="preserve"> interaction</w:t>
      </w:r>
      <w:r w:rsidR="00673DF8" w:rsidRPr="00C123C3">
        <w:rPr>
          <w:rFonts w:ascii="Arial" w:eastAsia="ComputerModern-Regular" w:hAnsi="Arial" w:cs="Arial"/>
          <w:sz w:val="24"/>
          <w:szCs w:val="24"/>
        </w:rPr>
        <w:t>s</w:t>
      </w:r>
      <w:r w:rsidR="00555612" w:rsidRPr="00C123C3">
        <w:rPr>
          <w:rFonts w:ascii="Arial" w:eastAsia="ComputerModern-Regular" w:hAnsi="Arial" w:cs="Arial"/>
          <w:sz w:val="24"/>
          <w:szCs w:val="24"/>
        </w:rPr>
        <w:t xml:space="preserve"> between cell-to cell and cell-to matrix ground substances</w:t>
      </w:r>
      <w:r w:rsidR="00FF4BB2" w:rsidRPr="00C123C3">
        <w:rPr>
          <w:rFonts w:ascii="Arial" w:eastAsia="ComputerModern-Regular" w:hAnsi="Arial" w:cs="Arial"/>
          <w:sz w:val="24"/>
          <w:szCs w:val="24"/>
        </w:rPr>
        <w:t>. Also</w:t>
      </w:r>
      <w:r w:rsidR="00157352" w:rsidRPr="00C123C3">
        <w:rPr>
          <w:rFonts w:ascii="Arial" w:eastAsia="ComputerModern-Regular" w:hAnsi="Arial" w:cs="Arial"/>
          <w:sz w:val="24"/>
          <w:szCs w:val="24"/>
        </w:rPr>
        <w:t>,</w:t>
      </w:r>
      <w:r w:rsidR="00555612" w:rsidRPr="00C123C3">
        <w:rPr>
          <w:rFonts w:ascii="Arial" w:eastAsia="ComputerModern-Regular" w:hAnsi="Arial" w:cs="Arial"/>
          <w:sz w:val="24"/>
          <w:szCs w:val="24"/>
        </w:rPr>
        <w:t xml:space="preserve"> they can be used with anticancer</w:t>
      </w:r>
      <w:r w:rsidR="00761F26" w:rsidRPr="00C123C3">
        <w:rPr>
          <w:rFonts w:ascii="Arial" w:eastAsia="ComputerModern-Regular" w:hAnsi="Arial" w:cs="Arial"/>
          <w:sz w:val="24"/>
          <w:szCs w:val="24"/>
        </w:rPr>
        <w:t xml:space="preserve"> agents</w:t>
      </w:r>
      <w:r w:rsidR="00555612" w:rsidRPr="00C123C3">
        <w:rPr>
          <w:rFonts w:ascii="Arial" w:eastAsia="ComputerModern-Regular" w:hAnsi="Arial" w:cs="Arial"/>
          <w:sz w:val="24"/>
          <w:szCs w:val="24"/>
        </w:rPr>
        <w:t xml:space="preserve"> to suppress the growth and the metastasis of the tumor </w:t>
      </w:r>
      <w:r w:rsidR="006609AB" w:rsidRPr="00C123C3">
        <w:rPr>
          <w:rFonts w:ascii="Arial" w:eastAsia="ComputerModern-Regular" w:hAnsi="Arial" w:cs="Arial"/>
          <w:sz w:val="24"/>
          <w:szCs w:val="24"/>
        </w:rPr>
        <w:t>[12]</w:t>
      </w:r>
      <w:r w:rsidR="00555612" w:rsidRPr="00C123C3">
        <w:rPr>
          <w:rFonts w:ascii="Arial" w:eastAsia="ComputerModern-Regular" w:hAnsi="Arial" w:cs="Arial"/>
          <w:sz w:val="24"/>
          <w:szCs w:val="24"/>
        </w:rPr>
        <w:t xml:space="preserve">. </w:t>
      </w:r>
      <w:r w:rsidR="00555612" w:rsidRPr="00C123C3">
        <w:rPr>
          <w:rFonts w:ascii="Arial" w:hAnsi="Arial" w:cs="Arial"/>
          <w:sz w:val="24"/>
          <w:szCs w:val="24"/>
        </w:rPr>
        <w:t xml:space="preserve"> Vitamin D is a prohormone acts on the nuclear</w:t>
      </w:r>
      <w:r w:rsidR="00AD23AB" w:rsidRPr="00C123C3">
        <w:rPr>
          <w:rFonts w:ascii="Arial" w:hAnsi="Arial" w:cs="Arial"/>
          <w:sz w:val="24"/>
          <w:szCs w:val="24"/>
        </w:rPr>
        <w:t xml:space="preserve"> receptor and </w:t>
      </w:r>
      <w:r w:rsidR="00FF4BB2" w:rsidRPr="00C123C3">
        <w:rPr>
          <w:rFonts w:ascii="Arial" w:hAnsi="Arial" w:cs="Arial"/>
          <w:sz w:val="24"/>
          <w:szCs w:val="24"/>
        </w:rPr>
        <w:t>has</w:t>
      </w:r>
      <w:r w:rsidR="00AD23AB" w:rsidRPr="00C123C3">
        <w:rPr>
          <w:rFonts w:ascii="Arial" w:hAnsi="Arial" w:cs="Arial"/>
          <w:sz w:val="24"/>
          <w:szCs w:val="24"/>
        </w:rPr>
        <w:t xml:space="preserve"> pleiotrop</w:t>
      </w:r>
      <w:r w:rsidR="00555612" w:rsidRPr="00C123C3">
        <w:rPr>
          <w:rFonts w:ascii="Arial" w:hAnsi="Arial" w:cs="Arial"/>
          <w:sz w:val="24"/>
          <w:szCs w:val="24"/>
        </w:rPr>
        <w:t>ic effects beyond its nutriceutical actions. Experimental studies carried on the cancer cell line</w:t>
      </w:r>
      <w:r w:rsidR="00157352" w:rsidRPr="00C123C3">
        <w:rPr>
          <w:rFonts w:ascii="Arial" w:hAnsi="Arial" w:cs="Arial"/>
          <w:sz w:val="24"/>
          <w:szCs w:val="24"/>
        </w:rPr>
        <w:t>s</w:t>
      </w:r>
      <w:r w:rsidR="00555612" w:rsidRPr="00C123C3">
        <w:rPr>
          <w:rFonts w:ascii="Arial" w:hAnsi="Arial" w:cs="Arial"/>
          <w:sz w:val="24"/>
          <w:szCs w:val="24"/>
        </w:rPr>
        <w:t xml:space="preserve"> showed that vitamin D</w:t>
      </w:r>
      <w:r w:rsidR="00781434" w:rsidRPr="00C123C3">
        <w:rPr>
          <w:rFonts w:ascii="Arial" w:hAnsi="Arial" w:cs="Arial"/>
          <w:sz w:val="24"/>
          <w:szCs w:val="24"/>
        </w:rPr>
        <w:t xml:space="preserve"> is cytotoxic against cancer cell</w:t>
      </w:r>
      <w:r w:rsidR="00157352" w:rsidRPr="00C123C3">
        <w:rPr>
          <w:rFonts w:ascii="Arial" w:hAnsi="Arial" w:cs="Arial"/>
          <w:sz w:val="24"/>
          <w:szCs w:val="24"/>
        </w:rPr>
        <w:t>s</w:t>
      </w:r>
      <w:r w:rsidR="00781434" w:rsidRPr="00C123C3">
        <w:rPr>
          <w:rFonts w:ascii="Arial" w:hAnsi="Arial" w:cs="Arial"/>
          <w:sz w:val="24"/>
          <w:szCs w:val="24"/>
        </w:rPr>
        <w:t xml:space="preserve"> by inducing apoptosis</w:t>
      </w:r>
      <w:r w:rsidR="006609AB" w:rsidRPr="00C123C3">
        <w:rPr>
          <w:rFonts w:ascii="Arial" w:hAnsi="Arial" w:cs="Arial"/>
          <w:sz w:val="24"/>
          <w:szCs w:val="24"/>
        </w:rPr>
        <w:t xml:space="preserve"> [</w:t>
      </w:r>
      <w:r w:rsidR="005316CE" w:rsidRPr="00C123C3">
        <w:rPr>
          <w:rFonts w:ascii="Arial" w:hAnsi="Arial" w:cs="Arial"/>
          <w:sz w:val="24"/>
          <w:szCs w:val="24"/>
        </w:rPr>
        <w:t>13</w:t>
      </w:r>
      <w:r w:rsidR="00B53ED1" w:rsidRPr="00C123C3">
        <w:rPr>
          <w:rFonts w:ascii="Arial" w:hAnsi="Arial" w:cs="Arial"/>
          <w:sz w:val="24"/>
          <w:szCs w:val="24"/>
        </w:rPr>
        <w:t>-14</w:t>
      </w:r>
      <w:r w:rsidR="006609AB" w:rsidRPr="00C123C3">
        <w:rPr>
          <w:rFonts w:ascii="Arial" w:hAnsi="Arial" w:cs="Arial"/>
          <w:sz w:val="24"/>
          <w:szCs w:val="24"/>
        </w:rPr>
        <w:t>]</w:t>
      </w:r>
      <w:r w:rsidR="00781434" w:rsidRPr="00C123C3">
        <w:rPr>
          <w:rFonts w:ascii="Arial" w:hAnsi="Arial" w:cs="Arial"/>
          <w:sz w:val="24"/>
          <w:szCs w:val="24"/>
        </w:rPr>
        <w:t xml:space="preserve">. In human, </w:t>
      </w:r>
      <w:r w:rsidR="00C947EB" w:rsidRPr="00C123C3">
        <w:rPr>
          <w:rFonts w:ascii="Arial" w:hAnsi="Arial" w:cs="Arial"/>
          <w:sz w:val="24"/>
          <w:szCs w:val="24"/>
        </w:rPr>
        <w:t xml:space="preserve">the </w:t>
      </w:r>
      <w:r w:rsidR="00781434" w:rsidRPr="00C123C3">
        <w:rPr>
          <w:rFonts w:ascii="Arial" w:hAnsi="Arial" w:cs="Arial"/>
          <w:sz w:val="24"/>
          <w:szCs w:val="24"/>
        </w:rPr>
        <w:t>vitamin D reduces the risk of cancers and maintain</w:t>
      </w:r>
      <w:r w:rsidR="00761F26" w:rsidRPr="00C123C3">
        <w:rPr>
          <w:rFonts w:ascii="Arial" w:hAnsi="Arial" w:cs="Arial"/>
          <w:sz w:val="24"/>
          <w:szCs w:val="24"/>
        </w:rPr>
        <w:t>s</w:t>
      </w:r>
      <w:r w:rsidR="00781434" w:rsidRPr="00C123C3">
        <w:rPr>
          <w:rFonts w:ascii="Arial" w:hAnsi="Arial" w:cs="Arial"/>
          <w:sz w:val="24"/>
          <w:szCs w:val="24"/>
        </w:rPr>
        <w:t xml:space="preserve"> high serum levels of v</w:t>
      </w:r>
      <w:r w:rsidR="00761F26" w:rsidRPr="00C123C3">
        <w:rPr>
          <w:rFonts w:ascii="Arial" w:hAnsi="Arial" w:cs="Arial"/>
          <w:sz w:val="24"/>
          <w:szCs w:val="24"/>
        </w:rPr>
        <w:t>itamin D in cancer-patients which</w:t>
      </w:r>
      <w:r w:rsidR="00781434" w:rsidRPr="00C123C3">
        <w:rPr>
          <w:rFonts w:ascii="Arial" w:hAnsi="Arial" w:cs="Arial"/>
          <w:sz w:val="24"/>
          <w:szCs w:val="24"/>
        </w:rPr>
        <w:t xml:space="preserve"> improve the survival rate </w:t>
      </w:r>
      <w:r w:rsidR="006609AB" w:rsidRPr="00C123C3">
        <w:rPr>
          <w:rFonts w:ascii="Arial" w:hAnsi="Arial" w:cs="Arial"/>
          <w:sz w:val="24"/>
          <w:szCs w:val="24"/>
        </w:rPr>
        <w:t>[15]</w:t>
      </w:r>
      <w:r w:rsidR="002A05B8" w:rsidRPr="00C123C3">
        <w:rPr>
          <w:rFonts w:ascii="Arial" w:hAnsi="Arial" w:cs="Arial"/>
          <w:sz w:val="24"/>
          <w:szCs w:val="24"/>
        </w:rPr>
        <w:t>.</w:t>
      </w:r>
      <w:r w:rsidR="00B53ED1" w:rsidRPr="00C123C3">
        <w:rPr>
          <w:rFonts w:ascii="Arial" w:hAnsi="Arial" w:cs="Arial"/>
          <w:sz w:val="24"/>
          <w:szCs w:val="24"/>
        </w:rPr>
        <w:t xml:space="preserve"> </w:t>
      </w:r>
      <w:r w:rsidR="00761F26" w:rsidRPr="00C123C3">
        <w:rPr>
          <w:rFonts w:ascii="Arial" w:hAnsi="Arial" w:cs="Arial"/>
          <w:sz w:val="24"/>
          <w:szCs w:val="24"/>
        </w:rPr>
        <w:t xml:space="preserve"> The rational of the study is</w:t>
      </w:r>
      <w:r w:rsidR="00AD23AB" w:rsidRPr="00C123C3">
        <w:rPr>
          <w:rFonts w:ascii="Arial" w:hAnsi="Arial" w:cs="Arial"/>
          <w:sz w:val="24"/>
          <w:szCs w:val="24"/>
        </w:rPr>
        <w:t xml:space="preserve"> both κ-c</w:t>
      </w:r>
      <w:r w:rsidR="00673DF8" w:rsidRPr="00C123C3">
        <w:rPr>
          <w:rFonts w:ascii="Arial" w:hAnsi="Arial" w:cs="Arial"/>
          <w:sz w:val="24"/>
          <w:szCs w:val="24"/>
        </w:rPr>
        <w:t>arrageenan and vitamin D have</w:t>
      </w:r>
      <w:r w:rsidR="00AD23AB" w:rsidRPr="00C123C3">
        <w:rPr>
          <w:rFonts w:ascii="Arial" w:hAnsi="Arial" w:cs="Arial"/>
          <w:sz w:val="24"/>
          <w:szCs w:val="24"/>
        </w:rPr>
        <w:t xml:space="preserve"> pleiotropic effects including anticancer through different mechanisms</w:t>
      </w:r>
      <w:r w:rsidR="00761F26" w:rsidRPr="00C123C3">
        <w:rPr>
          <w:rFonts w:ascii="Arial" w:hAnsi="Arial" w:cs="Arial"/>
          <w:sz w:val="24"/>
          <w:szCs w:val="24"/>
        </w:rPr>
        <w:t>,</w:t>
      </w:r>
      <w:r w:rsidR="00AD23AB" w:rsidRPr="00C123C3">
        <w:rPr>
          <w:rFonts w:ascii="Arial" w:hAnsi="Arial" w:cs="Arial"/>
          <w:sz w:val="24"/>
          <w:szCs w:val="24"/>
        </w:rPr>
        <w:t xml:space="preserve"> and application of these substances via different routes can </w:t>
      </w:r>
      <w:r w:rsidR="00FF4BB2" w:rsidRPr="00C123C3">
        <w:rPr>
          <w:rFonts w:ascii="Arial" w:hAnsi="Arial" w:cs="Arial"/>
          <w:sz w:val="24"/>
          <w:szCs w:val="24"/>
        </w:rPr>
        <w:t>attenuate</w:t>
      </w:r>
      <w:r w:rsidR="00AD23AB" w:rsidRPr="00C123C3">
        <w:rPr>
          <w:rFonts w:ascii="Arial" w:hAnsi="Arial" w:cs="Arial"/>
          <w:sz w:val="24"/>
          <w:szCs w:val="24"/>
        </w:rPr>
        <w:t xml:space="preserve"> the oral cancer induced by DMBA. The aim of this study was to show the synergistic effect of using topical κ-carrageenan and oral administration of</w:t>
      </w:r>
      <w:r w:rsidR="00C947EB" w:rsidRPr="00C123C3">
        <w:rPr>
          <w:rFonts w:ascii="Arial" w:hAnsi="Arial" w:cs="Arial"/>
          <w:sz w:val="24"/>
          <w:szCs w:val="24"/>
        </w:rPr>
        <w:t xml:space="preserve"> the</w:t>
      </w:r>
      <w:r w:rsidR="00AD23AB" w:rsidRPr="00C123C3">
        <w:rPr>
          <w:rFonts w:ascii="Arial" w:hAnsi="Arial" w:cs="Arial"/>
          <w:sz w:val="24"/>
          <w:szCs w:val="24"/>
        </w:rPr>
        <w:t xml:space="preserve"> vitamin D on the DMBA-induced oral cancer using epidermal growth factor receptor </w:t>
      </w:r>
      <w:r w:rsidR="00FF4BB2" w:rsidRPr="00C123C3">
        <w:rPr>
          <w:rFonts w:ascii="Arial" w:hAnsi="Arial" w:cs="Arial"/>
          <w:sz w:val="24"/>
          <w:szCs w:val="24"/>
        </w:rPr>
        <w:t xml:space="preserve">(EGFR) </w:t>
      </w:r>
      <w:r w:rsidR="00AD23AB" w:rsidRPr="00C123C3">
        <w:rPr>
          <w:rFonts w:ascii="Arial" w:hAnsi="Arial" w:cs="Arial"/>
          <w:sz w:val="24"/>
          <w:szCs w:val="24"/>
        </w:rPr>
        <w:t>and tumor necrosis factor</w:t>
      </w:r>
      <w:r w:rsidR="00FF4BB2" w:rsidRPr="00C123C3">
        <w:rPr>
          <w:rFonts w:ascii="Arial" w:hAnsi="Arial" w:cs="Arial"/>
          <w:sz w:val="24"/>
          <w:szCs w:val="24"/>
        </w:rPr>
        <w:t>-α (TNF-α)</w:t>
      </w:r>
      <w:r w:rsidR="00AD23AB" w:rsidRPr="00C123C3">
        <w:rPr>
          <w:rFonts w:ascii="Arial" w:hAnsi="Arial" w:cs="Arial"/>
          <w:sz w:val="24"/>
          <w:szCs w:val="24"/>
        </w:rPr>
        <w:t xml:space="preserve"> as biomarkers. </w:t>
      </w:r>
    </w:p>
    <w:p w:rsidR="00C123C3" w:rsidRDefault="00C123C3" w:rsidP="00C123C3">
      <w:pPr>
        <w:bidi w:val="0"/>
        <w:spacing w:line="480" w:lineRule="auto"/>
        <w:jc w:val="lowKashida"/>
        <w:rPr>
          <w:rFonts w:ascii="Arial" w:hAnsi="Arial" w:cs="Arial"/>
          <w:b/>
          <w:bCs/>
          <w:sz w:val="24"/>
          <w:szCs w:val="24"/>
        </w:rPr>
      </w:pPr>
    </w:p>
    <w:p w:rsidR="00E012A5" w:rsidRPr="00C123C3" w:rsidRDefault="006609AB" w:rsidP="00C123C3">
      <w:pPr>
        <w:bidi w:val="0"/>
        <w:spacing w:line="480" w:lineRule="auto"/>
        <w:jc w:val="lowKashida"/>
        <w:rPr>
          <w:rFonts w:ascii="Arial" w:hAnsi="Arial" w:cs="Arial"/>
          <w:b/>
          <w:bCs/>
          <w:sz w:val="24"/>
          <w:szCs w:val="24"/>
        </w:rPr>
      </w:pPr>
      <w:r w:rsidRPr="00C123C3">
        <w:rPr>
          <w:rFonts w:ascii="Arial" w:hAnsi="Arial" w:cs="Arial"/>
          <w:b/>
          <w:bCs/>
          <w:sz w:val="24"/>
          <w:szCs w:val="24"/>
        </w:rPr>
        <w:t>MATERIAL AND METHODS</w:t>
      </w:r>
    </w:p>
    <w:p w:rsidR="00E012A5" w:rsidRPr="00C123C3" w:rsidRDefault="007564B0" w:rsidP="00C123C3">
      <w:pPr>
        <w:pStyle w:val="p"/>
        <w:shd w:val="clear" w:color="auto" w:fill="FFFFFF"/>
        <w:spacing w:before="166" w:beforeAutospacing="0" w:after="166" w:afterAutospacing="0" w:line="480" w:lineRule="auto"/>
        <w:rPr>
          <w:rFonts w:ascii="Arial" w:hAnsi="Arial" w:cs="Arial"/>
          <w:b/>
          <w:bCs/>
          <w:i/>
          <w:iCs/>
          <w:color w:val="000000"/>
        </w:rPr>
      </w:pPr>
      <w:r w:rsidRPr="00C123C3">
        <w:rPr>
          <w:rFonts w:ascii="Arial" w:hAnsi="Arial" w:cs="Arial"/>
          <w:i/>
          <w:iCs/>
          <w:color w:val="000000"/>
        </w:rPr>
        <w:t xml:space="preserve"> </w:t>
      </w:r>
      <w:r w:rsidR="00E012A5" w:rsidRPr="00C123C3">
        <w:rPr>
          <w:rFonts w:ascii="Arial" w:hAnsi="Arial" w:cs="Arial"/>
          <w:b/>
          <w:bCs/>
          <w:i/>
          <w:iCs/>
          <w:color w:val="000000"/>
        </w:rPr>
        <w:t>Ethical Approval</w:t>
      </w:r>
    </w:p>
    <w:p w:rsidR="00E012A5" w:rsidRPr="00C123C3" w:rsidRDefault="00E012A5" w:rsidP="00C123C3">
      <w:pPr>
        <w:bidi w:val="0"/>
        <w:spacing w:line="480" w:lineRule="auto"/>
        <w:jc w:val="lowKashida"/>
        <w:rPr>
          <w:rFonts w:ascii="Arial" w:hAnsi="Arial" w:cs="Arial"/>
          <w:sz w:val="24"/>
          <w:szCs w:val="24"/>
        </w:rPr>
      </w:pPr>
      <w:r w:rsidRPr="00C123C3">
        <w:rPr>
          <w:rFonts w:ascii="Arial" w:hAnsi="Arial" w:cs="Arial"/>
          <w:sz w:val="24"/>
          <w:szCs w:val="24"/>
        </w:rPr>
        <w:t>The Scientific Committee in the College of Dentistry at Baghdad University approved this experimental study</w:t>
      </w:r>
      <w:r w:rsidR="00673DF8" w:rsidRPr="00C123C3">
        <w:rPr>
          <w:rFonts w:ascii="Arial" w:hAnsi="Arial" w:cs="Arial"/>
          <w:sz w:val="24"/>
          <w:szCs w:val="24"/>
        </w:rPr>
        <w:t>.</w:t>
      </w:r>
      <w:r w:rsidRPr="00C123C3">
        <w:rPr>
          <w:rFonts w:ascii="Arial" w:hAnsi="Arial" w:cs="Arial"/>
          <w:sz w:val="24"/>
          <w:szCs w:val="24"/>
        </w:rPr>
        <w:t xml:space="preserve"> </w:t>
      </w:r>
    </w:p>
    <w:p w:rsidR="00E012A5" w:rsidRPr="00C123C3" w:rsidRDefault="007564B0" w:rsidP="00C123C3">
      <w:pPr>
        <w:pStyle w:val="p"/>
        <w:shd w:val="clear" w:color="auto" w:fill="FFFFFF"/>
        <w:spacing w:before="166" w:beforeAutospacing="0" w:after="166" w:afterAutospacing="0" w:line="480" w:lineRule="auto"/>
        <w:rPr>
          <w:rFonts w:ascii="Arial" w:hAnsi="Arial" w:cs="Arial"/>
          <w:b/>
          <w:bCs/>
          <w:i/>
          <w:iCs/>
          <w:color w:val="000000"/>
        </w:rPr>
      </w:pPr>
      <w:r w:rsidRPr="00C123C3">
        <w:rPr>
          <w:rFonts w:ascii="Arial" w:hAnsi="Arial" w:cs="Arial"/>
          <w:b/>
          <w:bCs/>
          <w:i/>
          <w:iCs/>
          <w:color w:val="000000"/>
        </w:rPr>
        <w:t xml:space="preserve"> </w:t>
      </w:r>
      <w:r w:rsidR="00E012A5" w:rsidRPr="00C123C3">
        <w:rPr>
          <w:rFonts w:ascii="Arial" w:hAnsi="Arial" w:cs="Arial"/>
          <w:b/>
          <w:bCs/>
          <w:i/>
          <w:iCs/>
          <w:color w:val="000000"/>
        </w:rPr>
        <w:t>Animals</w:t>
      </w:r>
    </w:p>
    <w:p w:rsidR="00E012A5" w:rsidRPr="00C123C3" w:rsidRDefault="00E012A5" w:rsidP="00C123C3">
      <w:pPr>
        <w:pStyle w:val="p"/>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rPr>
        <w:t>The National Center for Drug Control and Research (NCDCR), Ministry of Health in Baghdad</w:t>
      </w:r>
      <w:r w:rsidRPr="00C123C3">
        <w:rPr>
          <w:rFonts w:ascii="Arial" w:hAnsi="Arial" w:cs="Arial"/>
          <w:i/>
          <w:iCs/>
          <w:color w:val="000000"/>
        </w:rPr>
        <w:t xml:space="preserve"> </w:t>
      </w:r>
      <w:r w:rsidRPr="00C123C3">
        <w:rPr>
          <w:rFonts w:ascii="Arial" w:hAnsi="Arial" w:cs="Arial"/>
          <w:color w:val="000000"/>
        </w:rPr>
        <w:t xml:space="preserve">supplied the animals and the Animal Care Department at the </w:t>
      </w:r>
      <w:r w:rsidRPr="00C123C3">
        <w:rPr>
          <w:rFonts w:ascii="Arial" w:hAnsi="Arial" w:cs="Arial"/>
        </w:rPr>
        <w:t>Biotechnology Research Center</w:t>
      </w:r>
      <w:r w:rsidRPr="00C123C3">
        <w:rPr>
          <w:rFonts w:ascii="Arial" w:hAnsi="Arial" w:cs="Arial"/>
          <w:color w:val="000000"/>
        </w:rPr>
        <w:t xml:space="preserve">, </w:t>
      </w:r>
      <w:r w:rsidR="00F61757" w:rsidRPr="00C123C3">
        <w:rPr>
          <w:rFonts w:ascii="Arial" w:hAnsi="Arial" w:cs="Arial"/>
          <w:color w:val="000000"/>
        </w:rPr>
        <w:t xml:space="preserve">The </w:t>
      </w:r>
      <w:r w:rsidRPr="00C123C3">
        <w:rPr>
          <w:rFonts w:ascii="Arial" w:hAnsi="Arial" w:cs="Arial"/>
          <w:color w:val="000000"/>
        </w:rPr>
        <w:t xml:space="preserve">University of Al-Nahrin in Baghdad </w:t>
      </w:r>
      <w:r w:rsidRPr="00C123C3">
        <w:rPr>
          <w:rFonts w:ascii="Arial" w:hAnsi="Arial" w:cs="Arial"/>
          <w:color w:val="000000"/>
        </w:rPr>
        <w:lastRenderedPageBreak/>
        <w:t xml:space="preserve">considered the animal housing and care. Male Wistar albino rats (weighing 150-175 g) were housed four per cage, </w:t>
      </w:r>
      <w:r w:rsidRPr="00C123C3">
        <w:rPr>
          <w:rFonts w:ascii="Arial" w:hAnsi="Arial" w:cs="Arial"/>
        </w:rPr>
        <w:t>under a standa</w:t>
      </w:r>
      <w:r w:rsidR="00F61757" w:rsidRPr="00C123C3">
        <w:rPr>
          <w:rFonts w:ascii="Arial" w:hAnsi="Arial" w:cs="Arial"/>
        </w:rPr>
        <w:t>rd laboratory control condition</w:t>
      </w:r>
      <w:r w:rsidRPr="00C123C3">
        <w:rPr>
          <w:rFonts w:ascii="Arial" w:hAnsi="Arial" w:cs="Arial"/>
        </w:rPr>
        <w:t xml:space="preserve"> at room temperature of 25±2°C and humi</w:t>
      </w:r>
      <w:r w:rsidR="00F61757" w:rsidRPr="00C123C3">
        <w:rPr>
          <w:rFonts w:ascii="Arial" w:hAnsi="Arial" w:cs="Arial"/>
        </w:rPr>
        <w:t xml:space="preserve">dity (50±10%),  </w:t>
      </w:r>
      <w:r w:rsidRPr="00C123C3">
        <w:rPr>
          <w:rFonts w:ascii="Arial" w:hAnsi="Arial" w:cs="Arial"/>
        </w:rPr>
        <w:t>12-hour light/dark cycle, fed with a</w:t>
      </w:r>
      <w:r w:rsidRPr="00C123C3">
        <w:rPr>
          <w:rFonts w:ascii="Arial" w:hAnsi="Arial" w:cs="Arial"/>
          <w:b/>
          <w:bCs/>
        </w:rPr>
        <w:t xml:space="preserve"> </w:t>
      </w:r>
      <w:r w:rsidRPr="00C123C3">
        <w:rPr>
          <w:rFonts w:ascii="Arial" w:hAnsi="Arial" w:cs="Arial"/>
        </w:rPr>
        <w:t xml:space="preserve">standard rat chow pellet diet, and free access to tap water. </w:t>
      </w:r>
      <w:r w:rsidRPr="00C123C3">
        <w:rPr>
          <w:rFonts w:ascii="Arial" w:hAnsi="Arial" w:cs="Arial"/>
          <w:color w:val="000000"/>
        </w:rPr>
        <w:t xml:space="preserve">After 1 week of acclimatization, the animals were divided into seven groups: </w:t>
      </w:r>
    </w:p>
    <w:p w:rsidR="00E012A5" w:rsidRPr="00C123C3" w:rsidRDefault="00E012A5"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 xml:space="preserve">Group I (n=7) </w:t>
      </w:r>
      <w:r w:rsidR="00761F26" w:rsidRPr="00C123C3">
        <w:rPr>
          <w:rFonts w:ascii="Arial" w:hAnsi="Arial" w:cs="Arial"/>
          <w:color w:val="000000"/>
        </w:rPr>
        <w:t xml:space="preserve">treated with </w:t>
      </w:r>
      <w:r w:rsidR="00F61757" w:rsidRPr="00C123C3">
        <w:rPr>
          <w:rFonts w:ascii="Arial" w:hAnsi="Arial" w:cs="Arial"/>
          <w:color w:val="000000"/>
        </w:rPr>
        <w:t xml:space="preserve">an </w:t>
      </w:r>
      <w:r w:rsidR="00761F26" w:rsidRPr="00C123C3">
        <w:rPr>
          <w:rFonts w:ascii="Arial" w:hAnsi="Arial" w:cs="Arial"/>
          <w:color w:val="000000"/>
        </w:rPr>
        <w:t xml:space="preserve">equal volume of acetone </w:t>
      </w:r>
      <w:r w:rsidR="006609AB" w:rsidRPr="00C123C3">
        <w:rPr>
          <w:rFonts w:ascii="Arial" w:hAnsi="Arial" w:cs="Arial"/>
          <w:color w:val="000000"/>
        </w:rPr>
        <w:t xml:space="preserve">( a solvent of DMBA) </w:t>
      </w:r>
      <w:r w:rsidR="00761F26" w:rsidRPr="00C123C3">
        <w:rPr>
          <w:rFonts w:ascii="Arial" w:hAnsi="Arial" w:cs="Arial"/>
          <w:color w:val="000000"/>
        </w:rPr>
        <w:t xml:space="preserve">and </w:t>
      </w:r>
      <w:r w:rsidRPr="00C123C3">
        <w:rPr>
          <w:rFonts w:ascii="Arial" w:hAnsi="Arial" w:cs="Arial"/>
          <w:color w:val="000000"/>
        </w:rPr>
        <w:t>served as the negative control</w:t>
      </w:r>
      <w:r w:rsidR="00F61757" w:rsidRPr="00C123C3">
        <w:rPr>
          <w:rFonts w:ascii="Arial" w:hAnsi="Arial" w:cs="Arial"/>
          <w:color w:val="000000"/>
        </w:rPr>
        <w:t>.</w:t>
      </w:r>
    </w:p>
    <w:p w:rsidR="00E012A5" w:rsidRPr="00C123C3" w:rsidRDefault="00E012A5"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Group II (n=9) treated with oral dose (5000UI) vitamin D</w:t>
      </w:r>
      <w:r w:rsidR="00BA1F83" w:rsidRPr="00C123C3">
        <w:rPr>
          <w:rFonts w:ascii="Arial" w:hAnsi="Arial" w:cs="Arial"/>
          <w:color w:val="000000"/>
        </w:rPr>
        <w:t xml:space="preserve"> twice weekly</w:t>
      </w:r>
    </w:p>
    <w:p w:rsidR="00E012A5" w:rsidRPr="00C123C3" w:rsidRDefault="00E012A5"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Group III (n=7): treated with</w:t>
      </w:r>
      <w:r w:rsidR="00673DF8" w:rsidRPr="00C123C3">
        <w:rPr>
          <w:rFonts w:ascii="Arial" w:hAnsi="Arial" w:cs="Arial"/>
          <w:color w:val="000000"/>
        </w:rPr>
        <w:t xml:space="preserve"> topical application of κ-carra</w:t>
      </w:r>
      <w:r w:rsidRPr="00C123C3">
        <w:rPr>
          <w:rFonts w:ascii="Arial" w:hAnsi="Arial" w:cs="Arial"/>
          <w:color w:val="000000"/>
        </w:rPr>
        <w:t>geenan (1%).</w:t>
      </w:r>
    </w:p>
    <w:p w:rsidR="00E012A5" w:rsidRPr="00C123C3" w:rsidRDefault="00E012A5"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Group IV (n=31): treated with topical application of DMBA</w:t>
      </w:r>
      <w:r w:rsidR="006A41EC" w:rsidRPr="00C123C3">
        <w:rPr>
          <w:rFonts w:ascii="Arial" w:hAnsi="Arial" w:cs="Arial"/>
          <w:color w:val="000000"/>
        </w:rPr>
        <w:t xml:space="preserve"> (0.5%</w:t>
      </w:r>
      <w:r w:rsidR="00761F26" w:rsidRPr="00C123C3">
        <w:rPr>
          <w:rFonts w:ascii="Arial" w:hAnsi="Arial" w:cs="Arial"/>
          <w:color w:val="000000"/>
        </w:rPr>
        <w:t xml:space="preserve"> w/v, dissolved in acetone</w:t>
      </w:r>
      <w:r w:rsidR="006A41EC" w:rsidRPr="00C123C3">
        <w:rPr>
          <w:rFonts w:ascii="Arial" w:hAnsi="Arial" w:cs="Arial"/>
          <w:color w:val="000000"/>
        </w:rPr>
        <w:t>)</w:t>
      </w:r>
      <w:r w:rsidR="00761F26" w:rsidRPr="00C123C3">
        <w:rPr>
          <w:rFonts w:ascii="Arial" w:hAnsi="Arial" w:cs="Arial"/>
          <w:color w:val="000000"/>
        </w:rPr>
        <w:t>.</w:t>
      </w:r>
    </w:p>
    <w:p w:rsidR="006A41EC" w:rsidRPr="00C123C3" w:rsidRDefault="00E012A5" w:rsidP="00C123C3">
      <w:pPr>
        <w:bidi w:val="0"/>
        <w:spacing w:line="480" w:lineRule="auto"/>
        <w:jc w:val="lowKashida"/>
        <w:rPr>
          <w:rFonts w:ascii="Arial" w:hAnsi="Arial" w:cs="Arial"/>
          <w:color w:val="000000"/>
          <w:sz w:val="24"/>
          <w:szCs w:val="24"/>
        </w:rPr>
      </w:pPr>
      <w:r w:rsidRPr="00C123C3">
        <w:rPr>
          <w:rFonts w:ascii="Arial" w:hAnsi="Arial" w:cs="Arial"/>
          <w:color w:val="000000"/>
          <w:sz w:val="24"/>
          <w:szCs w:val="24"/>
        </w:rPr>
        <w:t xml:space="preserve">The animals </w:t>
      </w:r>
      <w:r w:rsidR="006A41EC" w:rsidRPr="00C123C3">
        <w:rPr>
          <w:rFonts w:ascii="Arial" w:hAnsi="Arial" w:cs="Arial"/>
          <w:color w:val="000000"/>
          <w:sz w:val="24"/>
          <w:szCs w:val="24"/>
        </w:rPr>
        <w:t xml:space="preserve">of Group I, II, and IV </w:t>
      </w:r>
      <w:r w:rsidRPr="00C123C3">
        <w:rPr>
          <w:rFonts w:ascii="Arial" w:hAnsi="Arial" w:cs="Arial"/>
          <w:color w:val="000000"/>
          <w:sz w:val="24"/>
          <w:szCs w:val="24"/>
        </w:rPr>
        <w:t>were treated topically (the chemicals applied to both check and pala</w:t>
      </w:r>
      <w:r w:rsidR="00F61757" w:rsidRPr="00C123C3">
        <w:rPr>
          <w:rFonts w:ascii="Arial" w:hAnsi="Arial" w:cs="Arial"/>
          <w:color w:val="000000"/>
          <w:sz w:val="24"/>
          <w:szCs w:val="24"/>
        </w:rPr>
        <w:t>te using a brush size #4 under</w:t>
      </w:r>
      <w:r w:rsidRPr="00C123C3">
        <w:rPr>
          <w:rFonts w:ascii="Arial" w:hAnsi="Arial" w:cs="Arial"/>
          <w:color w:val="000000"/>
          <w:sz w:val="24"/>
          <w:szCs w:val="24"/>
        </w:rPr>
        <w:t xml:space="preserve"> light anesthesia), five times per week for 12 weeks</w:t>
      </w:r>
      <w:r w:rsidR="006A41EC" w:rsidRPr="00C123C3">
        <w:rPr>
          <w:rFonts w:ascii="Arial" w:hAnsi="Arial" w:cs="Arial"/>
          <w:color w:val="000000"/>
          <w:sz w:val="24"/>
          <w:szCs w:val="24"/>
        </w:rPr>
        <w:t>. Then 21 rats of Group IV were subgrouped into:</w:t>
      </w:r>
    </w:p>
    <w:p w:rsidR="006A41EC" w:rsidRPr="00C123C3" w:rsidRDefault="006A41EC" w:rsidP="00C123C3">
      <w:pPr>
        <w:bidi w:val="0"/>
        <w:spacing w:line="480" w:lineRule="auto"/>
        <w:jc w:val="lowKashida"/>
        <w:rPr>
          <w:rFonts w:ascii="Arial" w:hAnsi="Arial" w:cs="Arial"/>
          <w:color w:val="000000"/>
          <w:sz w:val="24"/>
          <w:szCs w:val="24"/>
        </w:rPr>
      </w:pPr>
      <w:r w:rsidRPr="00C123C3">
        <w:rPr>
          <w:rFonts w:ascii="Arial" w:hAnsi="Arial" w:cs="Arial"/>
          <w:color w:val="000000"/>
          <w:sz w:val="24"/>
          <w:szCs w:val="24"/>
        </w:rPr>
        <w:t xml:space="preserve">Group V (n=7): treated with </w:t>
      </w:r>
      <w:r w:rsidR="00F61757" w:rsidRPr="00C123C3">
        <w:rPr>
          <w:rFonts w:ascii="Arial" w:hAnsi="Arial" w:cs="Arial"/>
          <w:color w:val="000000"/>
          <w:sz w:val="24"/>
          <w:szCs w:val="24"/>
        </w:rPr>
        <w:t xml:space="preserve">an </w:t>
      </w:r>
      <w:r w:rsidRPr="00C123C3">
        <w:rPr>
          <w:rFonts w:ascii="Arial" w:hAnsi="Arial" w:cs="Arial"/>
          <w:color w:val="000000"/>
          <w:sz w:val="24"/>
          <w:szCs w:val="24"/>
        </w:rPr>
        <w:t>oral dosage of vitamin D (5000UI)</w:t>
      </w:r>
      <w:r w:rsidR="00BA1F83" w:rsidRPr="00C123C3">
        <w:rPr>
          <w:rFonts w:ascii="Arial" w:hAnsi="Arial" w:cs="Arial"/>
          <w:color w:val="000000"/>
          <w:sz w:val="24"/>
          <w:szCs w:val="24"/>
        </w:rPr>
        <w:t xml:space="preserve"> twice weekly</w:t>
      </w:r>
      <w:r w:rsidR="00761F26" w:rsidRPr="00C123C3">
        <w:rPr>
          <w:rFonts w:ascii="Arial" w:hAnsi="Arial" w:cs="Arial"/>
          <w:color w:val="000000"/>
          <w:sz w:val="24"/>
          <w:szCs w:val="24"/>
        </w:rPr>
        <w:t xml:space="preserve"> via stainless feeding tube for 8 weeks.</w:t>
      </w:r>
    </w:p>
    <w:p w:rsidR="006A41EC" w:rsidRPr="00C123C3" w:rsidRDefault="006A41EC"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Group VI (n=7): treated with topical ap</w:t>
      </w:r>
      <w:r w:rsidR="00673DF8" w:rsidRPr="00C123C3">
        <w:rPr>
          <w:rFonts w:ascii="Arial" w:hAnsi="Arial" w:cs="Arial"/>
          <w:color w:val="000000"/>
        </w:rPr>
        <w:t>plication of κ-carra</w:t>
      </w:r>
      <w:r w:rsidR="00761F26" w:rsidRPr="00C123C3">
        <w:rPr>
          <w:rFonts w:ascii="Arial" w:hAnsi="Arial" w:cs="Arial"/>
          <w:color w:val="000000"/>
        </w:rPr>
        <w:t>geenan (1%) for 8 weeks.</w:t>
      </w:r>
    </w:p>
    <w:p w:rsidR="006A41EC" w:rsidRPr="00C123C3" w:rsidRDefault="006A41EC" w:rsidP="00C123C3">
      <w:pPr>
        <w:pStyle w:val="NormalWeb"/>
        <w:shd w:val="clear" w:color="auto" w:fill="FFFFFF"/>
        <w:spacing w:before="166" w:beforeAutospacing="0" w:after="166" w:afterAutospacing="0" w:line="480" w:lineRule="auto"/>
        <w:jc w:val="lowKashida"/>
        <w:rPr>
          <w:rFonts w:ascii="Arial" w:hAnsi="Arial" w:cs="Arial"/>
          <w:color w:val="000000"/>
        </w:rPr>
      </w:pPr>
      <w:r w:rsidRPr="00C123C3">
        <w:rPr>
          <w:rFonts w:ascii="Arial" w:hAnsi="Arial" w:cs="Arial"/>
          <w:color w:val="000000"/>
        </w:rPr>
        <w:t xml:space="preserve">Group VII (n=7): treated with simultaneous administration of </w:t>
      </w:r>
      <w:r w:rsidR="00F61757" w:rsidRPr="00C123C3">
        <w:rPr>
          <w:rFonts w:ascii="Arial" w:hAnsi="Arial" w:cs="Arial"/>
          <w:color w:val="000000"/>
        </w:rPr>
        <w:t xml:space="preserve">an </w:t>
      </w:r>
      <w:r w:rsidRPr="00C123C3">
        <w:rPr>
          <w:rFonts w:ascii="Arial" w:hAnsi="Arial" w:cs="Arial"/>
          <w:color w:val="000000"/>
        </w:rPr>
        <w:t xml:space="preserve">oral dosage of vitamin D (5000UI) </w:t>
      </w:r>
      <w:r w:rsidR="00BA1F83" w:rsidRPr="00C123C3">
        <w:rPr>
          <w:rFonts w:ascii="Arial" w:hAnsi="Arial" w:cs="Arial"/>
          <w:color w:val="000000"/>
        </w:rPr>
        <w:t xml:space="preserve">twice weekly </w:t>
      </w:r>
      <w:r w:rsidRPr="00C123C3">
        <w:rPr>
          <w:rFonts w:ascii="Arial" w:hAnsi="Arial" w:cs="Arial"/>
          <w:color w:val="000000"/>
        </w:rPr>
        <w:t>an</w:t>
      </w:r>
      <w:r w:rsidR="00673DF8" w:rsidRPr="00C123C3">
        <w:rPr>
          <w:rFonts w:ascii="Arial" w:hAnsi="Arial" w:cs="Arial"/>
          <w:color w:val="000000"/>
        </w:rPr>
        <w:t>d topical application of κ-carra</w:t>
      </w:r>
      <w:r w:rsidRPr="00C123C3">
        <w:rPr>
          <w:rFonts w:ascii="Arial" w:hAnsi="Arial" w:cs="Arial"/>
          <w:color w:val="000000"/>
        </w:rPr>
        <w:t>geenan (1%)</w:t>
      </w:r>
      <w:r w:rsidR="00BA1F83" w:rsidRPr="00C123C3">
        <w:rPr>
          <w:rFonts w:ascii="Arial" w:hAnsi="Arial" w:cs="Arial"/>
          <w:color w:val="000000"/>
        </w:rPr>
        <w:t xml:space="preserve"> five times weekly</w:t>
      </w:r>
      <w:r w:rsidR="00761F26" w:rsidRPr="00C123C3">
        <w:rPr>
          <w:rFonts w:ascii="Arial" w:hAnsi="Arial" w:cs="Arial"/>
          <w:color w:val="000000"/>
        </w:rPr>
        <w:t xml:space="preserve"> for 8 weeks</w:t>
      </w:r>
      <w:r w:rsidRPr="00C123C3">
        <w:rPr>
          <w:rFonts w:ascii="Arial" w:hAnsi="Arial" w:cs="Arial"/>
          <w:color w:val="000000"/>
        </w:rPr>
        <w:t>.</w:t>
      </w:r>
    </w:p>
    <w:p w:rsidR="00E012A5" w:rsidRPr="00C123C3" w:rsidRDefault="00F61757" w:rsidP="00C123C3">
      <w:pPr>
        <w:bidi w:val="0"/>
        <w:spacing w:line="480" w:lineRule="auto"/>
        <w:jc w:val="lowKashida"/>
        <w:rPr>
          <w:rFonts w:ascii="Arial" w:hAnsi="Arial" w:cs="Arial"/>
          <w:sz w:val="24"/>
          <w:szCs w:val="24"/>
          <w:lang w:bidi="ar-IQ"/>
        </w:rPr>
      </w:pPr>
      <w:r w:rsidRPr="00C123C3">
        <w:rPr>
          <w:rFonts w:ascii="Arial" w:hAnsi="Arial" w:cs="Arial"/>
          <w:sz w:val="24"/>
          <w:szCs w:val="24"/>
        </w:rPr>
        <w:lastRenderedPageBreak/>
        <w:t>Water and pellets access was</w:t>
      </w:r>
      <w:r w:rsidR="00800391" w:rsidRPr="00C123C3">
        <w:rPr>
          <w:rFonts w:ascii="Arial" w:hAnsi="Arial" w:cs="Arial"/>
          <w:sz w:val="24"/>
          <w:szCs w:val="24"/>
        </w:rPr>
        <w:t xml:space="preserve"> not allowed for at least two hours to avoid the washing out of the chemicals</w:t>
      </w:r>
      <w:r w:rsidR="00800391" w:rsidRPr="00C123C3">
        <w:rPr>
          <w:rFonts w:ascii="Arial" w:hAnsi="Arial" w:cs="Arial"/>
          <w:color w:val="000000"/>
          <w:sz w:val="24"/>
          <w:szCs w:val="24"/>
        </w:rPr>
        <w:t>.</w:t>
      </w:r>
      <w:r w:rsidR="00E012A5" w:rsidRPr="00C123C3">
        <w:rPr>
          <w:rFonts w:ascii="Arial" w:hAnsi="Arial" w:cs="Arial"/>
          <w:color w:val="000000"/>
          <w:sz w:val="24"/>
          <w:szCs w:val="24"/>
        </w:rPr>
        <w:t xml:space="preserve"> </w:t>
      </w:r>
      <w:r w:rsidR="00E012A5" w:rsidRPr="00C123C3">
        <w:rPr>
          <w:rFonts w:ascii="Arial" w:hAnsi="Arial" w:cs="Arial"/>
          <w:sz w:val="24"/>
          <w:szCs w:val="24"/>
          <w:lang w:bidi="ar-IQ"/>
        </w:rPr>
        <w:t>During the study, the animals were checked for the appearance of mass or ulcerat</w:t>
      </w:r>
      <w:r w:rsidRPr="00C123C3">
        <w:rPr>
          <w:rFonts w:ascii="Arial" w:hAnsi="Arial" w:cs="Arial"/>
          <w:sz w:val="24"/>
          <w:szCs w:val="24"/>
          <w:lang w:bidi="ar-IQ"/>
        </w:rPr>
        <w:t>ive lesion, and the number, size</w:t>
      </w:r>
      <w:r w:rsidR="00E012A5" w:rsidRPr="00C123C3">
        <w:rPr>
          <w:rFonts w:ascii="Arial" w:hAnsi="Arial" w:cs="Arial"/>
          <w:sz w:val="24"/>
          <w:szCs w:val="24"/>
          <w:lang w:bidi="ar-IQ"/>
        </w:rPr>
        <w:t>, and the characteristic features of the lesion we</w:t>
      </w:r>
      <w:r w:rsidRPr="00C123C3">
        <w:rPr>
          <w:rFonts w:ascii="Arial" w:hAnsi="Arial" w:cs="Arial"/>
          <w:sz w:val="24"/>
          <w:szCs w:val="24"/>
          <w:lang w:bidi="ar-IQ"/>
        </w:rPr>
        <w:t>re recorded. Also, access to</w:t>
      </w:r>
      <w:r w:rsidR="00E012A5" w:rsidRPr="00C123C3">
        <w:rPr>
          <w:rFonts w:ascii="Arial" w:hAnsi="Arial" w:cs="Arial"/>
          <w:sz w:val="24"/>
          <w:szCs w:val="24"/>
          <w:lang w:bidi="ar-IQ"/>
        </w:rPr>
        <w:t xml:space="preserve"> water </w:t>
      </w:r>
      <w:r w:rsidRPr="00C123C3">
        <w:rPr>
          <w:rFonts w:ascii="Arial" w:hAnsi="Arial" w:cs="Arial"/>
          <w:sz w:val="24"/>
          <w:szCs w:val="24"/>
          <w:lang w:bidi="ar-IQ"/>
        </w:rPr>
        <w:t xml:space="preserve">and </w:t>
      </w:r>
      <w:r w:rsidR="00E012A5" w:rsidRPr="00C123C3">
        <w:rPr>
          <w:rFonts w:ascii="Arial" w:hAnsi="Arial" w:cs="Arial"/>
          <w:sz w:val="24"/>
          <w:szCs w:val="24"/>
          <w:lang w:bidi="ar-IQ"/>
        </w:rPr>
        <w:t>pellets by the animals and the number of dead animals during the study were recorded. At the end of the study, blood samples were obtained by cardiac puncture under light ane</w:t>
      </w:r>
      <w:r w:rsidRPr="00C123C3">
        <w:rPr>
          <w:rFonts w:ascii="Arial" w:hAnsi="Arial" w:cs="Arial"/>
          <w:sz w:val="24"/>
          <w:szCs w:val="24"/>
          <w:lang w:bidi="ar-IQ"/>
        </w:rPr>
        <w:t>sthesia, and the check bearing</w:t>
      </w:r>
      <w:r w:rsidR="00E012A5" w:rsidRPr="00C123C3">
        <w:rPr>
          <w:rFonts w:ascii="Arial" w:hAnsi="Arial" w:cs="Arial"/>
          <w:sz w:val="24"/>
          <w:szCs w:val="24"/>
          <w:lang w:bidi="ar-IQ"/>
        </w:rPr>
        <w:t xml:space="preserve"> tumor lesion was excised for further histopathological study. Blood samples were centrifuged at 3,000 R.P.M. for 15 minutes, the sera separated and kept in </w:t>
      </w:r>
      <w:r w:rsidRPr="00C123C3">
        <w:rPr>
          <w:rFonts w:ascii="Arial" w:hAnsi="Arial" w:cs="Arial"/>
          <w:sz w:val="24"/>
          <w:szCs w:val="24"/>
          <w:lang w:bidi="ar-IQ"/>
        </w:rPr>
        <w:t xml:space="preserve">the </w:t>
      </w:r>
      <w:r w:rsidR="00E012A5" w:rsidRPr="00C123C3">
        <w:rPr>
          <w:rFonts w:ascii="Arial" w:hAnsi="Arial" w:cs="Arial"/>
          <w:sz w:val="24"/>
          <w:szCs w:val="24"/>
          <w:lang w:bidi="ar-IQ"/>
        </w:rPr>
        <w:t>deep freeze at -20</w:t>
      </w:r>
      <w:r w:rsidRPr="00C123C3">
        <w:rPr>
          <w:rFonts w:ascii="Arial" w:hAnsi="Arial" w:cs="Arial"/>
          <w:sz w:val="24"/>
          <w:szCs w:val="24"/>
          <w:lang w:bidi="ar-IQ"/>
        </w:rPr>
        <w:t>º</w:t>
      </w:r>
      <w:r w:rsidR="00E012A5" w:rsidRPr="00C123C3">
        <w:rPr>
          <w:rFonts w:ascii="Arial" w:hAnsi="Arial" w:cs="Arial"/>
          <w:sz w:val="24"/>
          <w:szCs w:val="24"/>
          <w:lang w:bidi="ar-IQ"/>
        </w:rPr>
        <w:t xml:space="preserve">C for further determination of </w:t>
      </w:r>
      <w:r w:rsidR="00800391" w:rsidRPr="00C123C3">
        <w:rPr>
          <w:rFonts w:ascii="Arial" w:hAnsi="Arial" w:cs="Arial"/>
          <w:sz w:val="24"/>
          <w:szCs w:val="24"/>
          <w:lang w:bidi="ar-IQ"/>
        </w:rPr>
        <w:t>TNF-α</w:t>
      </w:r>
      <w:r w:rsidR="00E012A5" w:rsidRPr="00C123C3">
        <w:rPr>
          <w:rFonts w:ascii="Arial" w:hAnsi="Arial" w:cs="Arial"/>
          <w:sz w:val="24"/>
          <w:szCs w:val="24"/>
          <w:lang w:bidi="ar-IQ"/>
        </w:rPr>
        <w:t>, and EGFR by Enzyme</w:t>
      </w:r>
      <w:r w:rsidRPr="00C123C3">
        <w:rPr>
          <w:rFonts w:ascii="Arial" w:hAnsi="Arial" w:cs="Arial"/>
          <w:sz w:val="24"/>
          <w:szCs w:val="24"/>
          <w:lang w:bidi="ar-IQ"/>
        </w:rPr>
        <w:t>-</w:t>
      </w:r>
      <w:r w:rsidR="00E012A5" w:rsidRPr="00C123C3">
        <w:rPr>
          <w:rFonts w:ascii="Arial" w:hAnsi="Arial" w:cs="Arial"/>
          <w:sz w:val="24"/>
          <w:szCs w:val="24"/>
          <w:lang w:bidi="ar-IQ"/>
        </w:rPr>
        <w:t xml:space="preserve">Linked ImmunoSorbent Technology </w:t>
      </w:r>
      <w:r w:rsidR="00716840" w:rsidRPr="00C123C3">
        <w:rPr>
          <w:rFonts w:ascii="Arial" w:hAnsi="Arial" w:cs="Arial"/>
          <w:sz w:val="24"/>
          <w:szCs w:val="24"/>
          <w:lang w:bidi="ar-IQ"/>
        </w:rPr>
        <w:t xml:space="preserve">(ELISA) </w:t>
      </w:r>
      <w:r w:rsidR="00E012A5" w:rsidRPr="00C123C3">
        <w:rPr>
          <w:rFonts w:ascii="Arial" w:hAnsi="Arial" w:cs="Arial"/>
          <w:sz w:val="24"/>
          <w:szCs w:val="24"/>
          <w:lang w:bidi="ar-IQ"/>
        </w:rPr>
        <w:t xml:space="preserve">according to the instructions of the manufacturers. </w:t>
      </w:r>
    </w:p>
    <w:p w:rsidR="00E012A5" w:rsidRPr="00C123C3" w:rsidRDefault="00E012A5" w:rsidP="00C123C3">
      <w:pPr>
        <w:bidi w:val="0"/>
        <w:spacing w:line="480" w:lineRule="auto"/>
        <w:jc w:val="lowKashida"/>
        <w:rPr>
          <w:rFonts w:ascii="Arial" w:hAnsi="Arial" w:cs="Arial"/>
          <w:b/>
          <w:bCs/>
          <w:i/>
          <w:iCs/>
          <w:sz w:val="24"/>
          <w:szCs w:val="24"/>
          <w:lang w:bidi="ar-IQ"/>
        </w:rPr>
      </w:pPr>
      <w:r w:rsidRPr="00C123C3">
        <w:rPr>
          <w:rFonts w:ascii="Arial" w:hAnsi="Arial" w:cs="Arial"/>
          <w:b/>
          <w:bCs/>
          <w:i/>
          <w:iCs/>
          <w:sz w:val="24"/>
          <w:szCs w:val="24"/>
          <w:lang w:bidi="ar-IQ"/>
        </w:rPr>
        <w:t>Statistical analysis</w:t>
      </w:r>
    </w:p>
    <w:p w:rsidR="00E012A5" w:rsidRPr="00C123C3" w:rsidRDefault="00E012A5" w:rsidP="00C123C3">
      <w:pPr>
        <w:bidi w:val="0"/>
        <w:spacing w:line="480" w:lineRule="auto"/>
        <w:jc w:val="lowKashida"/>
        <w:rPr>
          <w:rFonts w:ascii="Arial" w:hAnsi="Arial" w:cs="Arial"/>
          <w:sz w:val="24"/>
          <w:szCs w:val="24"/>
          <w:lang w:bidi="ar-IQ"/>
        </w:rPr>
      </w:pPr>
      <w:r w:rsidRPr="00C123C3">
        <w:rPr>
          <w:rFonts w:ascii="Arial" w:hAnsi="Arial" w:cs="Arial"/>
          <w:sz w:val="24"/>
          <w:szCs w:val="24"/>
          <w:lang w:bidi="ar-IQ"/>
        </w:rPr>
        <w:t xml:space="preserve">The results are </w:t>
      </w:r>
      <w:r w:rsidR="00800391" w:rsidRPr="00C123C3">
        <w:rPr>
          <w:rFonts w:ascii="Arial" w:hAnsi="Arial" w:cs="Arial"/>
          <w:sz w:val="24"/>
          <w:szCs w:val="24"/>
          <w:lang w:bidi="ar-IQ"/>
        </w:rPr>
        <w:t>expressed as number, percentages, and</w:t>
      </w:r>
      <w:r w:rsidRPr="00C123C3">
        <w:rPr>
          <w:rFonts w:ascii="Arial" w:hAnsi="Arial" w:cs="Arial"/>
          <w:sz w:val="24"/>
          <w:szCs w:val="24"/>
          <w:lang w:bidi="ar-IQ"/>
        </w:rPr>
        <w:t xml:space="preserve"> mean ±SEM of </w:t>
      </w:r>
      <w:r w:rsidR="00722EED" w:rsidRPr="00C123C3">
        <w:rPr>
          <w:rFonts w:ascii="Arial" w:hAnsi="Arial" w:cs="Arial"/>
          <w:sz w:val="24"/>
          <w:szCs w:val="24"/>
          <w:lang w:bidi="ar-IQ"/>
        </w:rPr>
        <w:t xml:space="preserve">the </w:t>
      </w:r>
      <w:r w:rsidRPr="00C123C3">
        <w:rPr>
          <w:rFonts w:ascii="Arial" w:hAnsi="Arial" w:cs="Arial"/>
          <w:sz w:val="24"/>
          <w:szCs w:val="24"/>
          <w:lang w:bidi="ar-IQ"/>
        </w:rPr>
        <w:t xml:space="preserve">number of animals.  The difference between means was analysed using </w:t>
      </w:r>
      <w:r w:rsidR="00800391" w:rsidRPr="00C123C3">
        <w:rPr>
          <w:rFonts w:ascii="Arial" w:hAnsi="Arial" w:cs="Arial"/>
          <w:sz w:val="24"/>
          <w:szCs w:val="24"/>
          <w:lang w:bidi="ar-IQ"/>
        </w:rPr>
        <w:t>one way analysis of variances (ANOVA) with</w:t>
      </w:r>
      <w:r w:rsidR="00800391" w:rsidRPr="00C123C3">
        <w:rPr>
          <w:rFonts w:ascii="Arial" w:hAnsi="Arial" w:cs="Arial"/>
          <w:i/>
          <w:iCs/>
          <w:sz w:val="24"/>
          <w:szCs w:val="24"/>
          <w:lang w:bidi="ar-IQ"/>
        </w:rPr>
        <w:t xml:space="preserve"> post hoc Boneferroni</w:t>
      </w:r>
      <w:r w:rsidR="00800391" w:rsidRPr="00C123C3">
        <w:rPr>
          <w:rFonts w:ascii="Arial" w:hAnsi="Arial" w:cs="Arial"/>
          <w:sz w:val="24"/>
          <w:szCs w:val="24"/>
          <w:lang w:bidi="ar-IQ"/>
        </w:rPr>
        <w:t xml:space="preserve"> </w:t>
      </w:r>
      <w:r w:rsidRPr="00C123C3">
        <w:rPr>
          <w:rFonts w:ascii="Arial" w:hAnsi="Arial" w:cs="Arial"/>
          <w:sz w:val="24"/>
          <w:szCs w:val="24"/>
          <w:lang w:bidi="ar-IQ"/>
        </w:rPr>
        <w:t>two-</w:t>
      </w:r>
      <w:r w:rsidR="00800391" w:rsidRPr="00C123C3">
        <w:rPr>
          <w:rFonts w:ascii="Arial" w:hAnsi="Arial" w:cs="Arial"/>
          <w:sz w:val="24"/>
          <w:szCs w:val="24"/>
          <w:lang w:bidi="ar-IQ"/>
        </w:rPr>
        <w:t xml:space="preserve">tailed independent two sample </w:t>
      </w:r>
      <w:r w:rsidRPr="00C123C3">
        <w:rPr>
          <w:rFonts w:ascii="Arial" w:hAnsi="Arial" w:cs="Arial"/>
          <w:sz w:val="24"/>
          <w:szCs w:val="24"/>
          <w:lang w:bidi="ar-IQ"/>
        </w:rPr>
        <w:t xml:space="preserve">test. P-value at a level of ≤0.05 considered significant. Statistical analyses and figure were performed by using </w:t>
      </w:r>
      <w:r w:rsidR="00800391" w:rsidRPr="00C123C3">
        <w:rPr>
          <w:rFonts w:ascii="Arial" w:hAnsi="Arial" w:cs="Arial"/>
          <w:sz w:val="24"/>
          <w:szCs w:val="24"/>
          <w:lang w:bidi="ar-IQ"/>
        </w:rPr>
        <w:t>Statistical Package for Social Sciences (SPSS-IBM, version 21)</w:t>
      </w:r>
      <w:r w:rsidRPr="00C123C3">
        <w:rPr>
          <w:rFonts w:ascii="Arial" w:hAnsi="Arial" w:cs="Arial"/>
          <w:sz w:val="24"/>
          <w:szCs w:val="24"/>
          <w:lang w:bidi="ar-IQ"/>
        </w:rPr>
        <w:t xml:space="preserve"> software for Windows.  </w:t>
      </w:r>
    </w:p>
    <w:p w:rsidR="00E012A5" w:rsidRPr="00C123C3" w:rsidRDefault="006609AB" w:rsidP="00C123C3">
      <w:pPr>
        <w:pStyle w:val="NormalWeb"/>
        <w:shd w:val="clear" w:color="auto" w:fill="FFFFFF"/>
        <w:spacing w:before="166" w:beforeAutospacing="0" w:after="166" w:afterAutospacing="0" w:line="480" w:lineRule="auto"/>
        <w:jc w:val="lowKashida"/>
        <w:rPr>
          <w:rFonts w:ascii="Arial" w:hAnsi="Arial" w:cs="Arial"/>
          <w:b/>
          <w:bCs/>
          <w:color w:val="000000"/>
        </w:rPr>
      </w:pPr>
      <w:r w:rsidRPr="00C123C3">
        <w:rPr>
          <w:rFonts w:ascii="Arial" w:hAnsi="Arial" w:cs="Arial"/>
          <w:b/>
          <w:bCs/>
          <w:color w:val="000000"/>
        </w:rPr>
        <w:t>RESULTS</w:t>
      </w:r>
    </w:p>
    <w:p w:rsidR="0092526E" w:rsidRPr="00C123C3" w:rsidRDefault="00912E09" w:rsidP="00C123C3">
      <w:pPr>
        <w:autoSpaceDE w:val="0"/>
        <w:autoSpaceDN w:val="0"/>
        <w:bidi w:val="0"/>
        <w:adjustRightInd w:val="0"/>
        <w:spacing w:after="0" w:line="480" w:lineRule="auto"/>
        <w:jc w:val="lowKashida"/>
        <w:rPr>
          <w:rFonts w:ascii="Arial" w:hAnsi="Arial" w:cs="Arial"/>
          <w:sz w:val="24"/>
          <w:szCs w:val="24"/>
        </w:rPr>
      </w:pPr>
      <w:r w:rsidRPr="00C123C3">
        <w:rPr>
          <w:rFonts w:ascii="Arial" w:hAnsi="Arial" w:cs="Arial"/>
          <w:sz w:val="24"/>
          <w:szCs w:val="24"/>
        </w:rPr>
        <w:t>Table 1 shows significant differences between treated groups (Group I, II, III, IV) in the means of the serum levels of EGFR (F=5.530, p=0.004). Animals treated with κ-carrageenan (Group III) showed a significant</w:t>
      </w:r>
      <w:r w:rsidR="0040257D" w:rsidRPr="00C123C3">
        <w:rPr>
          <w:rFonts w:ascii="Arial" w:hAnsi="Arial" w:cs="Arial"/>
          <w:sz w:val="24"/>
          <w:szCs w:val="24"/>
        </w:rPr>
        <w:t>ly</w:t>
      </w:r>
      <w:r w:rsidRPr="00C123C3">
        <w:rPr>
          <w:rFonts w:ascii="Arial" w:hAnsi="Arial" w:cs="Arial"/>
          <w:sz w:val="24"/>
          <w:szCs w:val="24"/>
        </w:rPr>
        <w:t xml:space="preserve"> lower serum level of EGFR compared with the corresponding level of Group I, which </w:t>
      </w:r>
      <w:r w:rsidRPr="00C123C3">
        <w:rPr>
          <w:rFonts w:ascii="Arial" w:hAnsi="Arial" w:cs="Arial"/>
          <w:sz w:val="24"/>
          <w:szCs w:val="24"/>
        </w:rPr>
        <w:lastRenderedPageBreak/>
        <w:t xml:space="preserve">account </w:t>
      </w:r>
      <w:r w:rsidR="00690234" w:rsidRPr="00C123C3">
        <w:rPr>
          <w:rFonts w:ascii="Arial" w:hAnsi="Arial" w:cs="Arial"/>
          <w:sz w:val="24"/>
          <w:szCs w:val="24"/>
        </w:rPr>
        <w:t xml:space="preserve">a </w:t>
      </w:r>
      <w:r w:rsidRPr="00C123C3">
        <w:rPr>
          <w:rFonts w:ascii="Arial" w:hAnsi="Arial" w:cs="Arial"/>
          <w:sz w:val="24"/>
          <w:szCs w:val="24"/>
        </w:rPr>
        <w:t xml:space="preserve">22.2% decrease. </w:t>
      </w:r>
      <w:r w:rsidR="00690234" w:rsidRPr="00C123C3">
        <w:rPr>
          <w:rFonts w:ascii="Arial" w:hAnsi="Arial" w:cs="Arial"/>
          <w:sz w:val="24"/>
          <w:szCs w:val="24"/>
        </w:rPr>
        <w:t>Group IV (n=10) animals showed</w:t>
      </w:r>
      <w:r w:rsidRPr="00C123C3">
        <w:rPr>
          <w:rFonts w:ascii="Arial" w:hAnsi="Arial" w:cs="Arial"/>
          <w:sz w:val="24"/>
          <w:szCs w:val="24"/>
        </w:rPr>
        <w:t xml:space="preserve"> significant</w:t>
      </w:r>
      <w:r w:rsidR="0040257D" w:rsidRPr="00C123C3">
        <w:rPr>
          <w:rFonts w:ascii="Arial" w:hAnsi="Arial" w:cs="Arial"/>
          <w:sz w:val="24"/>
          <w:szCs w:val="24"/>
        </w:rPr>
        <w:t>ly</w:t>
      </w:r>
      <w:r w:rsidRPr="00C123C3">
        <w:rPr>
          <w:rFonts w:ascii="Arial" w:hAnsi="Arial" w:cs="Arial"/>
          <w:sz w:val="24"/>
          <w:szCs w:val="24"/>
        </w:rPr>
        <w:t xml:space="preserve"> lower serum EGFR levels compared with the corresponding value of Group I, which accounted </w:t>
      </w:r>
      <w:r w:rsidR="00690234" w:rsidRPr="00C123C3">
        <w:rPr>
          <w:rFonts w:ascii="Arial" w:hAnsi="Arial" w:cs="Arial"/>
          <w:sz w:val="24"/>
          <w:szCs w:val="24"/>
        </w:rPr>
        <w:t xml:space="preserve">for </w:t>
      </w:r>
      <w:r w:rsidRPr="00C123C3">
        <w:rPr>
          <w:rFonts w:ascii="Arial" w:hAnsi="Arial" w:cs="Arial"/>
          <w:sz w:val="24"/>
          <w:szCs w:val="24"/>
        </w:rPr>
        <w:t xml:space="preserve">21.1% (Table 1). There is a non- significant difference between the groups in the means of the serum TNF-α levels (Table 1). The mean serum levels of TNF- </w:t>
      </w:r>
      <w:r w:rsidR="00690234" w:rsidRPr="00C123C3">
        <w:rPr>
          <w:rFonts w:ascii="Arial" w:hAnsi="Arial" w:cs="Arial"/>
          <w:sz w:val="24"/>
          <w:szCs w:val="24"/>
        </w:rPr>
        <w:t xml:space="preserve">α decreased </w:t>
      </w:r>
      <w:r w:rsidRPr="00C123C3">
        <w:rPr>
          <w:rFonts w:ascii="Arial" w:hAnsi="Arial" w:cs="Arial"/>
          <w:sz w:val="24"/>
          <w:szCs w:val="24"/>
        </w:rPr>
        <w:t xml:space="preserve">to 95.3% (Group II), 73.8% (Group III) and 86% (Group IV) of the serum level of Group I. </w:t>
      </w:r>
    </w:p>
    <w:p w:rsidR="0092526E" w:rsidRPr="00C123C3" w:rsidRDefault="00C01CCF" w:rsidP="00C123C3">
      <w:pPr>
        <w:pStyle w:val="desc"/>
        <w:spacing w:before="0" w:beforeAutospacing="0" w:after="0" w:afterAutospacing="0" w:line="480" w:lineRule="auto"/>
        <w:jc w:val="lowKashida"/>
        <w:rPr>
          <w:rFonts w:ascii="Arial" w:hAnsi="Arial" w:cs="Arial"/>
        </w:rPr>
      </w:pPr>
      <w:r w:rsidRPr="00C123C3">
        <w:rPr>
          <w:rFonts w:ascii="Arial" w:hAnsi="Arial" w:cs="Arial"/>
        </w:rPr>
        <w:t>Table 2 shows significant differences between treated groups (Group IV, V, VI, VII) in the means of the serum levels of EGFR (F=3.844, p=0.021).</w:t>
      </w:r>
      <w:r w:rsidRPr="00C123C3">
        <w:rPr>
          <w:rFonts w:ascii="Arial" w:hAnsi="Arial" w:cs="Arial"/>
          <w:color w:val="000000" w:themeColor="text1"/>
        </w:rPr>
        <w:t xml:space="preserve"> </w:t>
      </w:r>
      <w:r w:rsidRPr="00C123C3">
        <w:rPr>
          <w:rFonts w:ascii="Arial" w:hAnsi="Arial" w:cs="Arial"/>
        </w:rPr>
        <w:t xml:space="preserve">Animals treated with simultaneous administration of </w:t>
      </w:r>
      <w:r w:rsidR="00690234" w:rsidRPr="00C123C3">
        <w:rPr>
          <w:rFonts w:ascii="Arial" w:hAnsi="Arial" w:cs="Arial"/>
        </w:rPr>
        <w:t xml:space="preserve">an </w:t>
      </w:r>
      <w:r w:rsidRPr="00C123C3">
        <w:rPr>
          <w:rFonts w:ascii="Arial" w:hAnsi="Arial" w:cs="Arial"/>
        </w:rPr>
        <w:t>oral dosage of vitamin D and topical application of κ-carrageenan (Group VII) showed a significant</w:t>
      </w:r>
      <w:r w:rsidR="00690234" w:rsidRPr="00C123C3">
        <w:rPr>
          <w:rFonts w:ascii="Arial" w:hAnsi="Arial" w:cs="Arial"/>
        </w:rPr>
        <w:t>ly</w:t>
      </w:r>
      <w:r w:rsidRPr="00C123C3">
        <w:rPr>
          <w:rFonts w:ascii="Arial" w:hAnsi="Arial" w:cs="Arial"/>
        </w:rPr>
        <w:t xml:space="preserve"> lower serum level of EGFR compared with the corresponding level of Group I (</w:t>
      </w:r>
      <w:r w:rsidRPr="00C123C3">
        <w:rPr>
          <w:rFonts w:ascii="Arial" w:hAnsi="Arial" w:cs="Arial"/>
          <w:color w:val="000000" w:themeColor="text1"/>
        </w:rPr>
        <w:t>614.3±69.7</w:t>
      </w:r>
      <w:r w:rsidRPr="00C123C3">
        <w:rPr>
          <w:rFonts w:ascii="Arial" w:hAnsi="Arial" w:cs="Arial"/>
        </w:rPr>
        <w:t xml:space="preserve">pg/ml versus </w:t>
      </w:r>
      <w:r w:rsidRPr="00C123C3">
        <w:rPr>
          <w:rFonts w:ascii="Arial" w:hAnsi="Arial" w:cs="Arial"/>
          <w:color w:val="000000" w:themeColor="text1"/>
        </w:rPr>
        <w:t>614.3±69.7pg/ml, p=0.014)</w:t>
      </w:r>
      <w:r w:rsidRPr="00C123C3">
        <w:rPr>
          <w:rFonts w:ascii="Arial" w:hAnsi="Arial" w:cs="Arial"/>
        </w:rPr>
        <w:t>, which account</w:t>
      </w:r>
      <w:r w:rsidR="00966BF0" w:rsidRPr="00C123C3">
        <w:rPr>
          <w:rFonts w:ascii="Arial" w:hAnsi="Arial" w:cs="Arial"/>
        </w:rPr>
        <w:t>s</w:t>
      </w:r>
      <w:r w:rsidRPr="00C123C3">
        <w:rPr>
          <w:rFonts w:ascii="Arial" w:hAnsi="Arial" w:cs="Arial"/>
        </w:rPr>
        <w:t xml:space="preserve"> 30.4% decrease)</w:t>
      </w:r>
      <w:r w:rsidRPr="00C123C3">
        <w:rPr>
          <w:rFonts w:ascii="Arial" w:hAnsi="Arial" w:cs="Arial"/>
          <w:color w:val="000000" w:themeColor="text1"/>
        </w:rPr>
        <w:t xml:space="preserve">. Oral administration of vitamin D (Group V) and topical application of </w:t>
      </w:r>
      <w:r w:rsidRPr="00C123C3">
        <w:rPr>
          <w:rFonts w:ascii="Arial" w:hAnsi="Arial" w:cs="Arial"/>
        </w:rPr>
        <w:t xml:space="preserve">κ-carrageenan (Group VI) </w:t>
      </w:r>
      <w:r w:rsidR="00966BF0" w:rsidRPr="00C123C3">
        <w:rPr>
          <w:rFonts w:ascii="Arial" w:hAnsi="Arial" w:cs="Arial"/>
        </w:rPr>
        <w:t xml:space="preserve">produced a </w:t>
      </w:r>
      <w:r w:rsidR="00690234" w:rsidRPr="00C123C3">
        <w:rPr>
          <w:rFonts w:ascii="Arial" w:hAnsi="Arial" w:cs="Arial"/>
        </w:rPr>
        <w:t>non-significant</w:t>
      </w:r>
      <w:r w:rsidRPr="00C123C3">
        <w:rPr>
          <w:rFonts w:ascii="Arial" w:hAnsi="Arial" w:cs="Arial"/>
        </w:rPr>
        <w:t xml:space="preserve"> decrease </w:t>
      </w:r>
      <w:r w:rsidR="00966BF0" w:rsidRPr="00C123C3">
        <w:rPr>
          <w:rFonts w:ascii="Arial" w:hAnsi="Arial" w:cs="Arial"/>
        </w:rPr>
        <w:t xml:space="preserve">of </w:t>
      </w:r>
      <w:r w:rsidRPr="00C123C3">
        <w:rPr>
          <w:rFonts w:ascii="Arial" w:hAnsi="Arial" w:cs="Arial"/>
        </w:rPr>
        <w:t xml:space="preserve">the </w:t>
      </w:r>
      <w:r w:rsidR="00966BF0" w:rsidRPr="00C123C3">
        <w:rPr>
          <w:rFonts w:ascii="Arial" w:hAnsi="Arial" w:cs="Arial"/>
        </w:rPr>
        <w:t>EGFR serum levels in</w:t>
      </w:r>
      <w:r w:rsidRPr="00C123C3">
        <w:rPr>
          <w:rFonts w:ascii="Arial" w:hAnsi="Arial" w:cs="Arial"/>
        </w:rPr>
        <w:t xml:space="preserve"> rats treated with topical application of DMBA by 8.9% and 13.6% of the serum level of EGFR of rats treated with DMBA alone (Group IV). A non-significant increase of serum levels of TNF-α were observed in </w:t>
      </w:r>
      <w:r w:rsidR="00690234" w:rsidRPr="00C123C3">
        <w:rPr>
          <w:rFonts w:ascii="Arial" w:hAnsi="Arial" w:cs="Arial"/>
        </w:rPr>
        <w:t>animals treated with oral doses</w:t>
      </w:r>
      <w:r w:rsidRPr="00C123C3">
        <w:rPr>
          <w:rFonts w:ascii="Arial" w:hAnsi="Arial" w:cs="Arial"/>
        </w:rPr>
        <w:t xml:space="preserve"> of vitamin D (Group V), topical application of κ-carrageenan (Group VI), and both treatments (Group VII)</w:t>
      </w:r>
      <w:r w:rsidR="00C44209" w:rsidRPr="00C123C3">
        <w:rPr>
          <w:rFonts w:ascii="Arial" w:hAnsi="Arial" w:cs="Arial"/>
        </w:rPr>
        <w:t xml:space="preserve"> by </w:t>
      </w:r>
      <w:r w:rsidRPr="00C123C3">
        <w:rPr>
          <w:rFonts w:ascii="Arial" w:hAnsi="Arial" w:cs="Arial"/>
        </w:rPr>
        <w:t>26.8%, 25.6%, and 4.5%, respectively compare</w:t>
      </w:r>
      <w:r w:rsidR="00C44209" w:rsidRPr="00C123C3">
        <w:rPr>
          <w:rFonts w:ascii="Arial" w:hAnsi="Arial" w:cs="Arial"/>
        </w:rPr>
        <w:t>d with animals treated with</w:t>
      </w:r>
      <w:r w:rsidRPr="00C123C3">
        <w:rPr>
          <w:rFonts w:ascii="Arial" w:hAnsi="Arial" w:cs="Arial"/>
        </w:rPr>
        <w:t xml:space="preserve"> DMBA alone (Group IV). </w:t>
      </w:r>
    </w:p>
    <w:p w:rsidR="0092526E" w:rsidRDefault="0092526E" w:rsidP="00C123C3">
      <w:pPr>
        <w:pStyle w:val="desc"/>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Figures 1 and 2 show the effects of different pharmacological interventions on the serum levels of EGFR and TNF-α in animals bearing tumors which induced by a topical application of DMBA in rats.</w:t>
      </w:r>
    </w:p>
    <w:p w:rsidR="00C123C3" w:rsidRDefault="00C123C3" w:rsidP="00C123C3">
      <w:pPr>
        <w:pStyle w:val="desc"/>
        <w:shd w:val="clear" w:color="auto" w:fill="FFFFFF"/>
        <w:spacing w:before="0" w:beforeAutospacing="0" w:after="0" w:afterAutospacing="0" w:line="276" w:lineRule="auto"/>
        <w:rPr>
          <w:rFonts w:ascii="Arial" w:hAnsi="Arial" w:cs="Arial"/>
          <w:b/>
          <w:bCs/>
          <w:color w:val="000000" w:themeColor="text1"/>
        </w:rPr>
      </w:pPr>
    </w:p>
    <w:p w:rsidR="00C123C3" w:rsidRPr="00C123C3" w:rsidRDefault="00C123C3" w:rsidP="00C123C3">
      <w:pPr>
        <w:pStyle w:val="desc"/>
        <w:shd w:val="clear" w:color="auto" w:fill="FFFFFF"/>
        <w:spacing w:before="0" w:beforeAutospacing="0" w:after="0" w:afterAutospacing="0" w:line="276" w:lineRule="auto"/>
        <w:rPr>
          <w:rFonts w:ascii="Arial" w:hAnsi="Arial" w:cs="Arial"/>
          <w:color w:val="000000" w:themeColor="text1"/>
        </w:rPr>
      </w:pPr>
      <w:r w:rsidRPr="00C123C3">
        <w:rPr>
          <w:rFonts w:ascii="Arial" w:hAnsi="Arial" w:cs="Arial"/>
          <w:b/>
          <w:bCs/>
          <w:color w:val="000000" w:themeColor="text1"/>
        </w:rPr>
        <w:lastRenderedPageBreak/>
        <w:t>Table 1</w:t>
      </w:r>
      <w:r w:rsidRPr="00C123C3">
        <w:rPr>
          <w:rFonts w:ascii="Arial" w:hAnsi="Arial" w:cs="Arial"/>
          <w:color w:val="000000" w:themeColor="text1"/>
        </w:rPr>
        <w:t>- Baseline data of the effect of vitamin D, Carrageenan, combined vitamin D and carrageenan, and DMBA on the serum levels epidermal growth factor receptor (EGFR) and tumor necrosis factor (TNF)-α in rats</w:t>
      </w:r>
    </w:p>
    <w:tbl>
      <w:tblPr>
        <w:tblStyle w:val="PlainTable2"/>
        <w:tblW w:w="6879" w:type="dxa"/>
        <w:tblLook w:val="04A0" w:firstRow="1" w:lastRow="0" w:firstColumn="1" w:lastColumn="0" w:noHBand="0" w:noVBand="1"/>
      </w:tblPr>
      <w:tblGrid>
        <w:gridCol w:w="3346"/>
        <w:gridCol w:w="1877"/>
        <w:gridCol w:w="1656"/>
      </w:tblGrid>
      <w:tr w:rsidR="00C123C3" w:rsidRPr="00C123C3" w:rsidTr="00BC4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Treated groups</w:t>
            </w:r>
          </w:p>
        </w:tc>
        <w:tc>
          <w:tcPr>
            <w:tcW w:w="1877"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C123C3">
              <w:rPr>
                <w:rFonts w:ascii="Arial" w:hAnsi="Arial" w:cs="Arial"/>
                <w:b w:val="0"/>
                <w:bCs w:val="0"/>
                <w:color w:val="000000" w:themeColor="text1"/>
              </w:rPr>
              <w:t>EGFR</w:t>
            </w:r>
          </w:p>
        </w:tc>
        <w:tc>
          <w:tcPr>
            <w:tcW w:w="1656"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C123C3">
              <w:rPr>
                <w:rFonts w:ascii="Arial" w:hAnsi="Arial" w:cs="Arial"/>
                <w:b w:val="0"/>
                <w:bCs w:val="0"/>
                <w:color w:val="000000" w:themeColor="text1"/>
              </w:rPr>
              <w:t>TNF- α</w:t>
            </w:r>
          </w:p>
        </w:tc>
      </w:tr>
      <w:tr w:rsidR="00C123C3" w:rsidRPr="00C123C3" w:rsidTr="00BC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tcBorders>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 (n=7)</w:t>
            </w:r>
          </w:p>
        </w:tc>
        <w:tc>
          <w:tcPr>
            <w:tcW w:w="1877" w:type="dxa"/>
            <w:tcBorders>
              <w:top w:val="single" w:sz="12" w:space="0" w:color="FF0000"/>
            </w:tcBorders>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123C3">
              <w:rPr>
                <w:rFonts w:ascii="Arial" w:hAnsi="Arial" w:cs="Arial"/>
                <w:color w:val="000000"/>
              </w:rPr>
              <w:t>1118.5±91.8</w:t>
            </w:r>
          </w:p>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rPr>
              <w:t>(633.4-1349.4)</w:t>
            </w:r>
          </w:p>
        </w:tc>
        <w:tc>
          <w:tcPr>
            <w:tcW w:w="1656" w:type="dxa"/>
            <w:tcBorders>
              <w:top w:val="single" w:sz="12" w:space="0" w:color="FF0000"/>
            </w:tcBorders>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39.03±4.44</w:t>
            </w:r>
          </w:p>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(21.18-51.55)</w:t>
            </w:r>
          </w:p>
        </w:tc>
      </w:tr>
      <w:tr w:rsidR="00C123C3" w:rsidRPr="00C123C3" w:rsidTr="00BC4DAC">
        <w:tc>
          <w:tcPr>
            <w:cnfStyle w:val="001000000000" w:firstRow="0" w:lastRow="0" w:firstColumn="1" w:lastColumn="0" w:oddVBand="0" w:evenVBand="0" w:oddHBand="0" w:evenHBand="0" w:firstRowFirstColumn="0" w:firstRowLastColumn="0" w:lastRowFirstColumn="0" w:lastRowLastColumn="0"/>
            <w:tcW w:w="3346" w:type="dxa"/>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II (n=9)</w:t>
            </w:r>
          </w:p>
        </w:tc>
        <w:tc>
          <w:tcPr>
            <w:tcW w:w="1877" w:type="dxa"/>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123C3">
              <w:rPr>
                <w:rFonts w:ascii="Arial" w:hAnsi="Arial" w:cs="Arial"/>
                <w:color w:val="000000"/>
              </w:rPr>
              <w:t>1072.3± 21.3</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rPr>
              <w:t>(1001.4-1199.4)</w:t>
            </w:r>
          </w:p>
        </w:tc>
        <w:tc>
          <w:tcPr>
            <w:tcW w:w="1656" w:type="dxa"/>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37.16±5.68</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(14.27-66.09)</w:t>
            </w:r>
          </w:p>
        </w:tc>
      </w:tr>
      <w:tr w:rsidR="00C123C3" w:rsidRPr="00C123C3" w:rsidTr="00BC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III (n=7)</w:t>
            </w:r>
          </w:p>
        </w:tc>
        <w:tc>
          <w:tcPr>
            <w:tcW w:w="1877" w:type="dxa"/>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123C3">
              <w:rPr>
                <w:rFonts w:ascii="Arial" w:hAnsi="Arial" w:cs="Arial"/>
                <w:color w:val="000000"/>
              </w:rPr>
              <w:t>869.7± 51.2</w:t>
            </w:r>
          </w:p>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rPr>
              <w:t>(705.4</w:t>
            </w:r>
            <w:r w:rsidRPr="00C123C3">
              <w:rPr>
                <w:rFonts w:ascii="Arial" w:hAnsi="Arial" w:cs="Arial"/>
                <w:color w:val="000000" w:themeColor="text1"/>
              </w:rPr>
              <w:t>-</w:t>
            </w:r>
            <w:r w:rsidRPr="00C123C3">
              <w:rPr>
                <w:rFonts w:ascii="Arial" w:hAnsi="Arial" w:cs="Arial"/>
                <w:color w:val="000000"/>
              </w:rPr>
              <w:t>1059.4</w:t>
            </w:r>
          </w:p>
        </w:tc>
        <w:tc>
          <w:tcPr>
            <w:tcW w:w="1656" w:type="dxa"/>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28.82±6.79</w:t>
            </w:r>
          </w:p>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(2.46-51.54)</w:t>
            </w:r>
          </w:p>
        </w:tc>
      </w:tr>
      <w:tr w:rsidR="00C123C3" w:rsidRPr="00C123C3" w:rsidTr="00BC4DAC">
        <w:trPr>
          <w:trHeight w:val="838"/>
        </w:trPr>
        <w:tc>
          <w:tcPr>
            <w:cnfStyle w:val="001000000000" w:firstRow="0" w:lastRow="0" w:firstColumn="1" w:lastColumn="0" w:oddVBand="0" w:evenVBand="0" w:oddHBand="0" w:evenHBand="0" w:firstRowFirstColumn="0" w:firstRowLastColumn="0" w:lastRowFirstColumn="0" w:lastRowLastColumn="0"/>
            <w:tcW w:w="3346" w:type="dxa"/>
            <w:tcBorders>
              <w:bottom w:val="single" w:sz="4" w:space="0" w:color="7F7F7F" w:themeColor="text1" w:themeTint="80"/>
            </w:tcBorders>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IV (n=10)</w:t>
            </w:r>
          </w:p>
          <w:p w:rsidR="00C123C3" w:rsidRPr="00C123C3" w:rsidRDefault="00C123C3" w:rsidP="00BC4DAC">
            <w:pPr>
              <w:pStyle w:val="desc"/>
              <w:spacing w:before="0" w:after="0" w:line="276" w:lineRule="auto"/>
              <w:rPr>
                <w:rFonts w:ascii="Arial" w:hAnsi="Arial" w:cs="Arial"/>
                <w:b w:val="0"/>
                <w:bCs w:val="0"/>
                <w:color w:val="000000" w:themeColor="text1"/>
              </w:rPr>
            </w:pPr>
            <w:r w:rsidRPr="00C123C3">
              <w:rPr>
                <w:rFonts w:ascii="Arial" w:hAnsi="Arial" w:cs="Arial"/>
                <w:b w:val="0"/>
                <w:bCs w:val="0"/>
                <w:color w:val="000000" w:themeColor="text1"/>
              </w:rPr>
              <w:t>F-value</w:t>
            </w:r>
          </w:p>
        </w:tc>
        <w:tc>
          <w:tcPr>
            <w:tcW w:w="1877" w:type="dxa"/>
            <w:tcBorders>
              <w:bottom w:val="single" w:sz="4" w:space="0" w:color="7F7F7F" w:themeColor="text1" w:themeTint="80"/>
            </w:tcBorders>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123C3">
              <w:rPr>
                <w:rFonts w:ascii="Arial" w:hAnsi="Arial" w:cs="Arial"/>
                <w:color w:val="000000"/>
              </w:rPr>
              <w:t>882.4±45.6 (653.4</w:t>
            </w:r>
            <w:r w:rsidRPr="00C123C3">
              <w:rPr>
                <w:rFonts w:ascii="Arial" w:hAnsi="Arial" w:cs="Arial"/>
                <w:color w:val="000000" w:themeColor="text1"/>
              </w:rPr>
              <w:t>-</w:t>
            </w:r>
            <w:r w:rsidRPr="00C123C3">
              <w:rPr>
                <w:rFonts w:ascii="Arial" w:hAnsi="Arial" w:cs="Arial"/>
                <w:color w:val="000000"/>
              </w:rPr>
              <w:t>929.4)</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123C3">
              <w:rPr>
                <w:rFonts w:ascii="Arial" w:hAnsi="Arial" w:cs="Arial"/>
                <w:color w:val="000000" w:themeColor="text1"/>
              </w:rPr>
              <w:t>5.530</w:t>
            </w:r>
          </w:p>
        </w:tc>
        <w:tc>
          <w:tcPr>
            <w:tcW w:w="1656" w:type="dxa"/>
            <w:tcBorders>
              <w:bottom w:val="single" w:sz="4" w:space="0" w:color="7F7F7F" w:themeColor="text1" w:themeTint="80"/>
            </w:tcBorders>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33.55±6.09</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(2.46-57.9)</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0.506</w:t>
            </w:r>
          </w:p>
        </w:tc>
      </w:tr>
      <w:tr w:rsidR="00C123C3" w:rsidRPr="00C123C3" w:rsidTr="00BC4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bottom w:val="single" w:sz="12" w:space="0" w:color="FF0000"/>
            </w:tcBorders>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p-value</w:t>
            </w:r>
          </w:p>
        </w:tc>
        <w:tc>
          <w:tcPr>
            <w:tcW w:w="1877" w:type="dxa"/>
            <w:tcBorders>
              <w:bottom w:val="single" w:sz="12" w:space="0" w:color="FF0000"/>
            </w:tcBorders>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0.004</w:t>
            </w:r>
          </w:p>
        </w:tc>
        <w:tc>
          <w:tcPr>
            <w:tcW w:w="1656" w:type="dxa"/>
            <w:tcBorders>
              <w:bottom w:val="single" w:sz="12" w:space="0" w:color="FF0000"/>
            </w:tcBorders>
          </w:tcPr>
          <w:p w:rsidR="00C123C3" w:rsidRPr="00C123C3" w:rsidRDefault="00C123C3" w:rsidP="00BC4DAC">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0.681</w:t>
            </w:r>
          </w:p>
        </w:tc>
      </w:tr>
      <w:tr w:rsidR="00C123C3" w:rsidRPr="00C123C3" w:rsidTr="00BC4DAC">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Comparison between Groups</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 versus Group II</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 versus Group III</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 versus Group IV</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II versus Group III</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II versus Group IV</w:t>
            </w:r>
          </w:p>
          <w:p w:rsidR="00C123C3" w:rsidRPr="00C123C3" w:rsidRDefault="00C123C3" w:rsidP="00BC4DAC">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III versus Group IV</w:t>
            </w:r>
          </w:p>
        </w:tc>
        <w:tc>
          <w:tcPr>
            <w:tcW w:w="1877"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0.932</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0.025</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0.020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0.063</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0.054</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0.998</w:t>
            </w:r>
          </w:p>
        </w:tc>
        <w:tc>
          <w:tcPr>
            <w:tcW w:w="1656" w:type="dxa"/>
            <w:tcBorders>
              <w:top w:val="single" w:sz="12" w:space="0" w:color="FF0000"/>
              <w:bottom w:val="single" w:sz="12" w:space="0" w:color="FF0000"/>
            </w:tcBorders>
          </w:tcPr>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C123C3" w:rsidRPr="00C123C3" w:rsidRDefault="00C123C3" w:rsidP="00BC4DAC">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tc>
      </w:tr>
    </w:tbl>
    <w:p w:rsidR="00C123C3" w:rsidRPr="00C123C3" w:rsidRDefault="00C123C3" w:rsidP="00C123C3">
      <w:pPr>
        <w:pStyle w:val="desc"/>
        <w:shd w:val="clear" w:color="auto" w:fill="FFFFFF"/>
        <w:spacing w:before="0" w:beforeAutospacing="0" w:after="0" w:afterAutospacing="0" w:line="276" w:lineRule="auto"/>
        <w:rPr>
          <w:rFonts w:ascii="Arial" w:hAnsi="Arial" w:cs="Arial"/>
          <w:color w:val="000000" w:themeColor="text1"/>
        </w:rPr>
      </w:pPr>
      <w:r w:rsidRPr="00C123C3">
        <w:rPr>
          <w:rFonts w:ascii="Arial" w:hAnsi="Arial" w:cs="Arial"/>
          <w:color w:val="000000" w:themeColor="text1"/>
        </w:rPr>
        <w:t xml:space="preserve"> The results are expressed as mean </w:t>
      </w:r>
      <w:r w:rsidRPr="00C123C3">
        <w:rPr>
          <w:rFonts w:ascii="Arial" w:hAnsi="Arial" w:cs="Arial"/>
          <w:color w:val="000000"/>
        </w:rPr>
        <w:t xml:space="preserve">±SEM (range). F-value was calculated by using ANOVA with </w:t>
      </w:r>
      <w:r w:rsidRPr="00C123C3">
        <w:rPr>
          <w:rFonts w:ascii="Arial" w:hAnsi="Arial" w:cs="Arial"/>
          <w:i/>
          <w:iCs/>
          <w:color w:val="000000" w:themeColor="text1"/>
        </w:rPr>
        <w:t>posthoc Boneferroni test</w:t>
      </w:r>
      <w:r w:rsidRPr="00C123C3">
        <w:rPr>
          <w:rFonts w:ascii="Arial" w:hAnsi="Arial" w:cs="Arial"/>
          <w:color w:val="000000" w:themeColor="text1"/>
        </w:rPr>
        <w:t xml:space="preserve"> to calculate the p-value of the differences between groups. Group I: acetone-treatment, Group II: Vitamin D-treatment, Group III: carrageenan-treatment, and Group IV: DMBA-treatment   </w:t>
      </w:r>
    </w:p>
    <w:p w:rsidR="00C123C3" w:rsidRPr="00C123C3" w:rsidRDefault="00C123C3" w:rsidP="00C123C3">
      <w:pPr>
        <w:pStyle w:val="desc"/>
        <w:spacing w:before="0" w:beforeAutospacing="0" w:after="0" w:afterAutospacing="0" w:line="480" w:lineRule="auto"/>
        <w:jc w:val="lowKashida"/>
        <w:rPr>
          <w:rFonts w:ascii="Arial" w:hAnsi="Arial" w:cs="Arial"/>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4432F8" w:rsidRDefault="004432F8" w:rsidP="00C123C3">
      <w:pPr>
        <w:pStyle w:val="desc"/>
        <w:shd w:val="clear" w:color="auto" w:fill="FFFFFF"/>
        <w:spacing w:before="0" w:beforeAutospacing="0" w:after="0" w:afterAutospacing="0" w:line="360" w:lineRule="auto"/>
        <w:rPr>
          <w:rFonts w:ascii="Arial" w:hAnsi="Arial" w:cs="Arial"/>
          <w:b/>
          <w:bCs/>
          <w:color w:val="000000" w:themeColor="text1"/>
        </w:rPr>
      </w:pPr>
    </w:p>
    <w:p w:rsidR="0092526E" w:rsidRPr="00C123C3" w:rsidRDefault="0092526E" w:rsidP="00C123C3">
      <w:pPr>
        <w:pStyle w:val="desc"/>
        <w:shd w:val="clear" w:color="auto" w:fill="FFFFFF"/>
        <w:spacing w:before="0" w:beforeAutospacing="0" w:after="0" w:afterAutospacing="0" w:line="360" w:lineRule="auto"/>
        <w:rPr>
          <w:rFonts w:ascii="Arial" w:hAnsi="Arial" w:cs="Arial"/>
          <w:color w:val="000000" w:themeColor="text1"/>
        </w:rPr>
      </w:pPr>
      <w:r w:rsidRPr="00C123C3">
        <w:rPr>
          <w:rFonts w:ascii="Arial" w:hAnsi="Arial" w:cs="Arial"/>
          <w:b/>
          <w:bCs/>
          <w:color w:val="000000" w:themeColor="text1"/>
        </w:rPr>
        <w:lastRenderedPageBreak/>
        <w:t>Table 2</w:t>
      </w:r>
      <w:r w:rsidRPr="00C123C3">
        <w:rPr>
          <w:rFonts w:ascii="Arial" w:hAnsi="Arial" w:cs="Arial"/>
          <w:color w:val="000000" w:themeColor="text1"/>
        </w:rPr>
        <w:t>- Effect of vitamin D, Carrageenan, combined vitamin D and carrageenan, on the serum levels epidermal growth factor receptor (EGFR) and tumor necrosis factor (TNF)-α in rats treated with DMBA</w:t>
      </w:r>
    </w:p>
    <w:tbl>
      <w:tblPr>
        <w:tblStyle w:val="PlainTable2"/>
        <w:tblW w:w="6880" w:type="dxa"/>
        <w:tblLook w:val="04A0" w:firstRow="1" w:lastRow="0" w:firstColumn="1" w:lastColumn="0" w:noHBand="0" w:noVBand="1"/>
      </w:tblPr>
      <w:tblGrid>
        <w:gridCol w:w="3346"/>
        <w:gridCol w:w="1878"/>
        <w:gridCol w:w="1656"/>
      </w:tblGrid>
      <w:tr w:rsidR="0092526E" w:rsidRPr="00C123C3" w:rsidTr="00A817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Treated groups</w:t>
            </w:r>
          </w:p>
        </w:tc>
        <w:tc>
          <w:tcPr>
            <w:tcW w:w="1878"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C123C3">
              <w:rPr>
                <w:rFonts w:ascii="Arial" w:hAnsi="Arial" w:cs="Arial"/>
                <w:b w:val="0"/>
                <w:bCs w:val="0"/>
                <w:color w:val="000000" w:themeColor="text1"/>
              </w:rPr>
              <w:t>EGFR</w:t>
            </w:r>
          </w:p>
        </w:tc>
        <w:tc>
          <w:tcPr>
            <w:tcW w:w="1656"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C123C3">
              <w:rPr>
                <w:rFonts w:ascii="Arial" w:hAnsi="Arial" w:cs="Arial"/>
                <w:b w:val="0"/>
                <w:bCs w:val="0"/>
                <w:color w:val="000000" w:themeColor="text1"/>
              </w:rPr>
              <w:t>TNF-a</w:t>
            </w:r>
          </w:p>
        </w:tc>
      </w:tr>
      <w:tr w:rsidR="0092526E" w:rsidRPr="00C123C3" w:rsidTr="00A81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tcBorders>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IV (n=10)</w:t>
            </w:r>
          </w:p>
        </w:tc>
        <w:tc>
          <w:tcPr>
            <w:tcW w:w="1878" w:type="dxa"/>
            <w:tcBorders>
              <w:top w:val="single" w:sz="12" w:space="0" w:color="FF0000"/>
            </w:tcBorders>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rPr>
              <w:t>882.4±45.6 (653.4</w:t>
            </w:r>
            <w:r w:rsidRPr="00C123C3">
              <w:rPr>
                <w:rFonts w:ascii="Arial" w:hAnsi="Arial" w:cs="Arial"/>
                <w:color w:val="000000" w:themeColor="text1"/>
              </w:rPr>
              <w:t>-</w:t>
            </w:r>
            <w:r w:rsidRPr="00C123C3">
              <w:rPr>
                <w:rFonts w:ascii="Arial" w:hAnsi="Arial" w:cs="Arial"/>
                <w:color w:val="000000"/>
              </w:rPr>
              <w:t>929.4)</w:t>
            </w:r>
          </w:p>
        </w:tc>
        <w:tc>
          <w:tcPr>
            <w:tcW w:w="1656" w:type="dxa"/>
            <w:tcBorders>
              <w:top w:val="single" w:sz="12" w:space="0" w:color="FF0000"/>
            </w:tcBorders>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33.55±6.09</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(2.46-57.9)</w:t>
            </w:r>
          </w:p>
        </w:tc>
      </w:tr>
      <w:tr w:rsidR="0092526E" w:rsidRPr="00C123C3" w:rsidTr="00A817FD">
        <w:tc>
          <w:tcPr>
            <w:cnfStyle w:val="001000000000" w:firstRow="0" w:lastRow="0" w:firstColumn="1" w:lastColumn="0" w:oddVBand="0" w:evenVBand="0" w:oddHBand="0" w:evenHBand="0" w:firstRowFirstColumn="0" w:firstRowLastColumn="0" w:lastRowFirstColumn="0" w:lastRowLastColumn="0"/>
            <w:tcW w:w="3346" w:type="dxa"/>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 (n=7)</w:t>
            </w:r>
          </w:p>
        </w:tc>
        <w:tc>
          <w:tcPr>
            <w:tcW w:w="1878" w:type="dxa"/>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804.8±49.4</w:t>
            </w:r>
          </w:p>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641.4-929.4)</w:t>
            </w:r>
          </w:p>
        </w:tc>
        <w:tc>
          <w:tcPr>
            <w:tcW w:w="1656" w:type="dxa"/>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42.53±7.47</w:t>
            </w:r>
          </w:p>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(1.182-59.73)</w:t>
            </w:r>
          </w:p>
        </w:tc>
      </w:tr>
      <w:tr w:rsidR="0092526E" w:rsidRPr="00C123C3" w:rsidTr="00A81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VI (n=7)</w:t>
            </w:r>
          </w:p>
        </w:tc>
        <w:tc>
          <w:tcPr>
            <w:tcW w:w="1878" w:type="dxa"/>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762.8±71.7</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(523.4-1135)</w:t>
            </w:r>
          </w:p>
        </w:tc>
        <w:tc>
          <w:tcPr>
            <w:tcW w:w="1656" w:type="dxa"/>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42.14±8.20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(1.18-65.18)</w:t>
            </w:r>
          </w:p>
        </w:tc>
      </w:tr>
      <w:tr w:rsidR="0092526E" w:rsidRPr="00C123C3" w:rsidTr="00A817FD">
        <w:tc>
          <w:tcPr>
            <w:cnfStyle w:val="001000000000" w:firstRow="0" w:lastRow="0" w:firstColumn="1" w:lastColumn="0" w:oddVBand="0" w:evenVBand="0" w:oddHBand="0" w:evenHBand="0" w:firstRowFirstColumn="0" w:firstRowLastColumn="0" w:lastRowFirstColumn="0" w:lastRowLastColumn="0"/>
            <w:tcW w:w="3346" w:type="dxa"/>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VII (n=7)</w:t>
            </w:r>
          </w:p>
        </w:tc>
        <w:tc>
          <w:tcPr>
            <w:tcW w:w="1878" w:type="dxa"/>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614.3±69.7</w:t>
            </w:r>
          </w:p>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(363.4-489.4)</w:t>
            </w:r>
          </w:p>
        </w:tc>
        <w:tc>
          <w:tcPr>
            <w:tcW w:w="1656" w:type="dxa"/>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35.05±10.48</w:t>
            </w:r>
          </w:p>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(1.55-74.27)</w:t>
            </w:r>
          </w:p>
        </w:tc>
      </w:tr>
      <w:tr w:rsidR="0092526E" w:rsidRPr="00C123C3" w:rsidTr="00A81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F-value</w:t>
            </w:r>
          </w:p>
        </w:tc>
        <w:tc>
          <w:tcPr>
            <w:tcW w:w="1878" w:type="dxa"/>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3.844</w:t>
            </w:r>
          </w:p>
        </w:tc>
        <w:tc>
          <w:tcPr>
            <w:tcW w:w="1656" w:type="dxa"/>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0.359</w:t>
            </w:r>
          </w:p>
        </w:tc>
      </w:tr>
      <w:tr w:rsidR="0092526E" w:rsidRPr="00C123C3" w:rsidTr="00A817FD">
        <w:tc>
          <w:tcPr>
            <w:cnfStyle w:val="001000000000" w:firstRow="0" w:lastRow="0" w:firstColumn="1" w:lastColumn="0" w:oddVBand="0" w:evenVBand="0" w:oddHBand="0" w:evenHBand="0" w:firstRowFirstColumn="0" w:firstRowLastColumn="0" w:lastRowFirstColumn="0" w:lastRowLastColumn="0"/>
            <w:tcW w:w="3346" w:type="dxa"/>
            <w:tcBorders>
              <w:bottom w:val="single" w:sz="12" w:space="0" w:color="FF0000"/>
            </w:tcBorders>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p-value</w:t>
            </w:r>
          </w:p>
        </w:tc>
        <w:tc>
          <w:tcPr>
            <w:tcW w:w="1878" w:type="dxa"/>
            <w:tcBorders>
              <w:bottom w:val="single" w:sz="12" w:space="0" w:color="FF0000"/>
            </w:tcBorders>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0.021</w:t>
            </w:r>
          </w:p>
        </w:tc>
        <w:tc>
          <w:tcPr>
            <w:tcW w:w="1656" w:type="dxa"/>
            <w:tcBorders>
              <w:bottom w:val="single" w:sz="12" w:space="0" w:color="FF0000"/>
            </w:tcBorders>
          </w:tcPr>
          <w:p w:rsidR="0092526E" w:rsidRPr="00C123C3" w:rsidRDefault="0092526E" w:rsidP="00C123C3">
            <w:pPr>
              <w:pStyle w:val="desc"/>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0.783</w:t>
            </w:r>
          </w:p>
        </w:tc>
      </w:tr>
      <w:tr w:rsidR="0092526E" w:rsidRPr="00C123C3" w:rsidTr="00A81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6"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Comparison between Groups</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IV versus Group V</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IV versus Group VI</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IV versus Group VII</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 versus Group VI</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 versus Group VII</w:t>
            </w:r>
          </w:p>
          <w:p w:rsidR="0092526E" w:rsidRPr="00C123C3" w:rsidRDefault="0092526E" w:rsidP="00C123C3">
            <w:pPr>
              <w:pStyle w:val="desc"/>
              <w:spacing w:before="0" w:beforeAutospacing="0" w:after="0" w:afterAutospacing="0" w:line="276" w:lineRule="auto"/>
              <w:rPr>
                <w:rFonts w:ascii="Arial" w:hAnsi="Arial" w:cs="Arial"/>
                <w:b w:val="0"/>
                <w:bCs w:val="0"/>
                <w:color w:val="000000" w:themeColor="text1"/>
              </w:rPr>
            </w:pPr>
            <w:r w:rsidRPr="00C123C3">
              <w:rPr>
                <w:rFonts w:ascii="Arial" w:hAnsi="Arial" w:cs="Arial"/>
                <w:b w:val="0"/>
                <w:bCs w:val="0"/>
                <w:color w:val="000000" w:themeColor="text1"/>
              </w:rPr>
              <w:t>Group VI versus Group VII</w:t>
            </w:r>
          </w:p>
        </w:tc>
        <w:tc>
          <w:tcPr>
            <w:tcW w:w="1878"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0.877</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0.014</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0.220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0.588</w:t>
            </w:r>
          </w:p>
        </w:tc>
        <w:tc>
          <w:tcPr>
            <w:tcW w:w="1656" w:type="dxa"/>
            <w:tcBorders>
              <w:top w:val="single" w:sz="12" w:space="0" w:color="FF0000"/>
              <w:bottom w:val="single" w:sz="12" w:space="0" w:color="FF0000"/>
            </w:tcBorders>
          </w:tcPr>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p w:rsidR="0092526E" w:rsidRPr="00C123C3" w:rsidRDefault="0092526E" w:rsidP="00C123C3">
            <w:pPr>
              <w:pStyle w:val="desc"/>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C123C3">
              <w:rPr>
                <w:rFonts w:ascii="Arial" w:hAnsi="Arial" w:cs="Arial"/>
                <w:color w:val="000000" w:themeColor="text1"/>
              </w:rPr>
              <w:t>1.000</w:t>
            </w:r>
          </w:p>
        </w:tc>
      </w:tr>
    </w:tbl>
    <w:p w:rsidR="0092526E" w:rsidRPr="00C123C3" w:rsidRDefault="0092526E" w:rsidP="00C123C3">
      <w:pPr>
        <w:pStyle w:val="desc"/>
        <w:shd w:val="clear" w:color="auto" w:fill="FFFFFF"/>
        <w:spacing w:before="0" w:beforeAutospacing="0" w:after="0" w:afterAutospacing="0" w:line="276" w:lineRule="auto"/>
        <w:rPr>
          <w:rFonts w:ascii="Arial" w:hAnsi="Arial" w:cs="Arial"/>
          <w:color w:val="000000" w:themeColor="text1"/>
        </w:rPr>
      </w:pPr>
      <w:r w:rsidRPr="00C123C3">
        <w:rPr>
          <w:rFonts w:ascii="Arial" w:hAnsi="Arial" w:cs="Arial"/>
          <w:color w:val="000000" w:themeColor="text1"/>
        </w:rPr>
        <w:t xml:space="preserve">The results are expressed as mean </w:t>
      </w:r>
      <w:r w:rsidRPr="00C123C3">
        <w:rPr>
          <w:rFonts w:ascii="Arial" w:hAnsi="Arial" w:cs="Arial"/>
          <w:color w:val="000000"/>
        </w:rPr>
        <w:t xml:space="preserve">±SEM (range). F-value was calculated by using ANOVA with </w:t>
      </w:r>
      <w:r w:rsidRPr="00C123C3">
        <w:rPr>
          <w:rFonts w:ascii="Arial" w:hAnsi="Arial" w:cs="Arial"/>
          <w:i/>
          <w:iCs/>
          <w:color w:val="000000" w:themeColor="text1"/>
        </w:rPr>
        <w:t>posthoc Boneferroni test</w:t>
      </w:r>
      <w:r w:rsidRPr="00C123C3">
        <w:rPr>
          <w:rFonts w:ascii="Arial" w:hAnsi="Arial" w:cs="Arial"/>
          <w:color w:val="000000" w:themeColor="text1"/>
        </w:rPr>
        <w:t xml:space="preserve"> to calculate the p-value of the differences between groups. Group IV: DMBA-treatment, Group V: Vitamin D followed DMBA-treatment, Group VI: carrageenan followed DMBA-treatment, and Group VII: Both vitamin D and carrageenan followed DMBA-treatment   </w:t>
      </w:r>
    </w:p>
    <w:p w:rsidR="0092526E" w:rsidRPr="00C123C3" w:rsidRDefault="0092526E" w:rsidP="00C123C3">
      <w:pPr>
        <w:pStyle w:val="desc"/>
        <w:shd w:val="clear" w:color="auto" w:fill="FFFFFF"/>
        <w:spacing w:before="0" w:beforeAutospacing="0" w:after="0" w:afterAutospacing="0" w:line="480" w:lineRule="auto"/>
        <w:rPr>
          <w:rFonts w:ascii="Arial" w:hAnsi="Arial" w:cs="Arial"/>
          <w:color w:val="000000" w:themeColor="text1"/>
        </w:rPr>
      </w:pPr>
    </w:p>
    <w:p w:rsidR="0092526E" w:rsidRPr="00C123C3" w:rsidRDefault="0092526E" w:rsidP="00C123C3">
      <w:pPr>
        <w:pStyle w:val="desc"/>
        <w:spacing w:before="0" w:beforeAutospacing="0" w:after="0" w:afterAutospacing="0" w:line="480" w:lineRule="auto"/>
        <w:jc w:val="lowKashida"/>
        <w:rPr>
          <w:rFonts w:ascii="Arial" w:hAnsi="Arial" w:cs="Arial"/>
          <w:color w:val="000000" w:themeColor="text1"/>
        </w:rPr>
      </w:pPr>
    </w:p>
    <w:p w:rsidR="00966BF0" w:rsidRPr="00C123C3" w:rsidRDefault="006609AB" w:rsidP="00C17DD6">
      <w:pPr>
        <w:pStyle w:val="desc"/>
        <w:shd w:val="clear" w:color="auto" w:fill="FFFFFF"/>
        <w:spacing w:before="0" w:beforeAutospacing="0" w:after="0" w:afterAutospacing="0" w:line="480" w:lineRule="auto"/>
        <w:rPr>
          <w:rFonts w:ascii="Arial" w:hAnsi="Arial" w:cs="Arial"/>
          <w:noProof/>
        </w:rPr>
      </w:pPr>
      <w:r w:rsidRPr="00C123C3">
        <w:rPr>
          <w:rFonts w:ascii="Arial" w:hAnsi="Arial" w:cs="Arial"/>
          <w:b/>
          <w:bCs/>
          <w:color w:val="000000" w:themeColor="text1"/>
        </w:rPr>
        <w:t>DISCUSSION</w:t>
      </w:r>
    </w:p>
    <w:p w:rsidR="00722EED" w:rsidRPr="00C123C3" w:rsidRDefault="00966BF0" w:rsidP="00C17DD6">
      <w:pPr>
        <w:pStyle w:val="desc"/>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The results of this study showed that D</w:t>
      </w:r>
      <w:r w:rsidR="00673DF8" w:rsidRPr="00C123C3">
        <w:rPr>
          <w:rFonts w:ascii="Arial" w:hAnsi="Arial" w:cs="Arial"/>
          <w:color w:val="000000" w:themeColor="text1"/>
        </w:rPr>
        <w:t>MBA as a carcinogenic substance</w:t>
      </w:r>
      <w:r w:rsidRPr="00C123C3">
        <w:rPr>
          <w:rFonts w:ascii="Arial" w:hAnsi="Arial" w:cs="Arial"/>
          <w:color w:val="000000" w:themeColor="text1"/>
        </w:rPr>
        <w:t xml:space="preserve"> induced significant changes in the serum EGFR and the therapeutic modalities in form of topical application of </w:t>
      </w:r>
      <w:r w:rsidRPr="00C123C3">
        <w:rPr>
          <w:rFonts w:ascii="Arial" w:hAnsi="Arial" w:cs="Arial"/>
        </w:rPr>
        <w:t>κ-carrageenan</w:t>
      </w:r>
      <w:r w:rsidRPr="00C123C3">
        <w:rPr>
          <w:rFonts w:ascii="Arial" w:hAnsi="Arial" w:cs="Arial"/>
          <w:color w:val="000000" w:themeColor="text1"/>
        </w:rPr>
        <w:t xml:space="preserve"> and systemic oral administration of vitamin D produce </w:t>
      </w:r>
      <w:r w:rsidR="005A7371" w:rsidRPr="00C123C3">
        <w:rPr>
          <w:rFonts w:ascii="Arial" w:hAnsi="Arial" w:cs="Arial"/>
          <w:color w:val="000000" w:themeColor="text1"/>
        </w:rPr>
        <w:t>signif</w:t>
      </w:r>
      <w:r w:rsidRPr="00C123C3">
        <w:rPr>
          <w:rFonts w:ascii="Arial" w:hAnsi="Arial" w:cs="Arial"/>
          <w:color w:val="000000" w:themeColor="text1"/>
        </w:rPr>
        <w:t>icant changes in the EGFR in rats bearing tumors but not in control rats.</w:t>
      </w:r>
      <w:r w:rsidR="005A7371" w:rsidRPr="00C123C3">
        <w:rPr>
          <w:rFonts w:ascii="Arial" w:hAnsi="Arial" w:cs="Arial"/>
          <w:color w:val="000000" w:themeColor="text1"/>
        </w:rPr>
        <w:t xml:space="preserve"> A non-significant difference in the serum level of the TNF-α in rats bearing tumors and control is contradictory to </w:t>
      </w:r>
      <w:r w:rsidR="005A7371" w:rsidRPr="00C123C3">
        <w:rPr>
          <w:rFonts w:ascii="Arial" w:hAnsi="Arial" w:cs="Arial"/>
          <w:color w:val="000000" w:themeColor="text1"/>
        </w:rPr>
        <w:lastRenderedPageBreak/>
        <w:t xml:space="preserve">the previous studies. A significantly higher salivary TNF-α was observed in patients with oral squamous cell carcinoma compared with healthy subjects </w:t>
      </w:r>
      <w:r w:rsidR="006609AB" w:rsidRPr="00C123C3">
        <w:rPr>
          <w:rFonts w:ascii="Arial" w:hAnsi="Arial" w:cs="Arial"/>
          <w:color w:val="000000" w:themeColor="text1"/>
        </w:rPr>
        <w:t>[16]</w:t>
      </w:r>
      <w:r w:rsidR="005350E9" w:rsidRPr="00C123C3">
        <w:rPr>
          <w:rFonts w:ascii="Arial" w:hAnsi="Arial" w:cs="Arial"/>
          <w:color w:val="000000" w:themeColor="text1"/>
        </w:rPr>
        <w:t xml:space="preserve">. Other studies found that exogenous TNF-α induces </w:t>
      </w:r>
      <w:r w:rsidR="003D422C" w:rsidRPr="00C123C3">
        <w:rPr>
          <w:rFonts w:ascii="Arial" w:hAnsi="Arial" w:cs="Arial"/>
          <w:color w:val="000000" w:themeColor="text1"/>
        </w:rPr>
        <w:t xml:space="preserve">the </w:t>
      </w:r>
      <w:r w:rsidR="005350E9" w:rsidRPr="00C123C3">
        <w:rPr>
          <w:rFonts w:ascii="Arial" w:hAnsi="Arial" w:cs="Arial"/>
          <w:color w:val="000000" w:themeColor="text1"/>
        </w:rPr>
        <w:t>transition of inflammation in the tumor stroma</w:t>
      </w:r>
      <w:r w:rsidR="006609AB" w:rsidRPr="00C123C3">
        <w:rPr>
          <w:rFonts w:ascii="Arial" w:hAnsi="Arial" w:cs="Arial"/>
          <w:color w:val="000000" w:themeColor="text1"/>
        </w:rPr>
        <w:t xml:space="preserve"> [17]</w:t>
      </w:r>
      <w:r w:rsidR="005350E9" w:rsidRPr="00C123C3">
        <w:rPr>
          <w:rFonts w:ascii="Arial" w:hAnsi="Arial" w:cs="Arial"/>
          <w:color w:val="000000" w:themeColor="text1"/>
        </w:rPr>
        <w:t xml:space="preserve">. On the other side, </w:t>
      </w:r>
      <w:r w:rsidR="006609AB" w:rsidRPr="00C123C3">
        <w:rPr>
          <w:rFonts w:ascii="Arial" w:hAnsi="Arial" w:cs="Arial"/>
          <w:shd w:val="clear" w:color="auto" w:fill="FFFFFF"/>
        </w:rPr>
        <w:t>Schiegnitz et al [</w:t>
      </w:r>
      <w:r w:rsidR="00B53ED1" w:rsidRPr="00C123C3">
        <w:rPr>
          <w:rFonts w:ascii="Arial" w:hAnsi="Arial" w:cs="Arial"/>
          <w:shd w:val="clear" w:color="auto" w:fill="FFFFFF"/>
        </w:rPr>
        <w:t>18</w:t>
      </w:r>
      <w:r w:rsidR="006609AB" w:rsidRPr="00C123C3">
        <w:rPr>
          <w:rFonts w:ascii="Arial" w:hAnsi="Arial" w:cs="Arial"/>
          <w:shd w:val="clear" w:color="auto" w:fill="FFFFFF"/>
        </w:rPr>
        <w:t>]</w:t>
      </w:r>
      <w:r w:rsidR="005350E9" w:rsidRPr="00C123C3">
        <w:rPr>
          <w:rFonts w:ascii="Arial" w:hAnsi="Arial" w:cs="Arial"/>
          <w:shd w:val="clear" w:color="auto" w:fill="FFFFFF"/>
        </w:rPr>
        <w:t xml:space="preserve"> demonstrated that </w:t>
      </w:r>
      <w:r w:rsidR="005350E9" w:rsidRPr="00C123C3">
        <w:rPr>
          <w:rFonts w:ascii="Arial" w:hAnsi="Arial" w:cs="Arial"/>
          <w:color w:val="000000" w:themeColor="text1"/>
        </w:rPr>
        <w:t xml:space="preserve">serum TNF-α level is not a useful associated or prognostic marker of oral squamous cell carcinoma patients as </w:t>
      </w:r>
      <w:r w:rsidR="00447A6F" w:rsidRPr="00C123C3">
        <w:rPr>
          <w:rFonts w:ascii="Arial" w:hAnsi="Arial" w:cs="Arial"/>
          <w:color w:val="000000" w:themeColor="text1"/>
        </w:rPr>
        <w:t>IL-6, IL-8, and soluble IL-2R. Conflicting results about the level of TNF-α</w:t>
      </w:r>
      <w:r w:rsidR="00FE5955" w:rsidRPr="00C123C3">
        <w:rPr>
          <w:rFonts w:ascii="Arial" w:hAnsi="Arial" w:cs="Arial"/>
          <w:color w:val="000000" w:themeColor="text1"/>
        </w:rPr>
        <w:t xml:space="preserve"> </w:t>
      </w:r>
      <w:r w:rsidR="003D422C" w:rsidRPr="00C123C3">
        <w:rPr>
          <w:rFonts w:ascii="Arial" w:hAnsi="Arial" w:cs="Arial"/>
          <w:color w:val="000000" w:themeColor="text1"/>
        </w:rPr>
        <w:t>relates</w:t>
      </w:r>
      <w:r w:rsidR="00447A6F" w:rsidRPr="00C123C3">
        <w:rPr>
          <w:rFonts w:ascii="Arial" w:hAnsi="Arial" w:cs="Arial"/>
          <w:color w:val="000000" w:themeColor="text1"/>
        </w:rPr>
        <w:t xml:space="preserve"> to the methodology of each study. </w:t>
      </w:r>
      <w:r w:rsidR="00FE5955" w:rsidRPr="00C123C3">
        <w:rPr>
          <w:rFonts w:ascii="Arial" w:hAnsi="Arial" w:cs="Arial"/>
        </w:rPr>
        <w:t>Topical application κ-carrageenan</w:t>
      </w:r>
      <w:r w:rsidR="00FE5955" w:rsidRPr="00C123C3">
        <w:rPr>
          <w:rFonts w:ascii="Arial" w:hAnsi="Arial" w:cs="Arial"/>
          <w:color w:val="000000" w:themeColor="text1"/>
        </w:rPr>
        <w:t xml:space="preserve"> or systemic oral administration of vitamin D produced an increment </w:t>
      </w:r>
      <w:r w:rsidR="00FF5C63" w:rsidRPr="00C123C3">
        <w:rPr>
          <w:rFonts w:ascii="Arial" w:hAnsi="Arial" w:cs="Arial"/>
          <w:color w:val="000000" w:themeColor="text1"/>
        </w:rPr>
        <w:t>o</w:t>
      </w:r>
      <w:r w:rsidR="00FE5955" w:rsidRPr="00C123C3">
        <w:rPr>
          <w:rFonts w:ascii="Arial" w:hAnsi="Arial" w:cs="Arial"/>
          <w:color w:val="000000" w:themeColor="text1"/>
        </w:rPr>
        <w:t xml:space="preserve">f TNF-α levels in rats bearing tumor while </w:t>
      </w:r>
      <w:r w:rsidR="005919DE" w:rsidRPr="00C123C3">
        <w:rPr>
          <w:rFonts w:ascii="Arial" w:hAnsi="Arial" w:cs="Arial"/>
          <w:color w:val="000000" w:themeColor="text1"/>
        </w:rPr>
        <w:t>concomitant administration of these agent</w:t>
      </w:r>
      <w:r w:rsidR="003D422C" w:rsidRPr="00C123C3">
        <w:rPr>
          <w:rFonts w:ascii="Arial" w:hAnsi="Arial" w:cs="Arial"/>
          <w:color w:val="000000" w:themeColor="text1"/>
        </w:rPr>
        <w:t>s</w:t>
      </w:r>
      <w:r w:rsidR="005919DE" w:rsidRPr="00C123C3">
        <w:rPr>
          <w:rFonts w:ascii="Arial" w:hAnsi="Arial" w:cs="Arial"/>
          <w:color w:val="000000" w:themeColor="text1"/>
        </w:rPr>
        <w:t xml:space="preserve"> does not produce considerable increment</w:t>
      </w:r>
      <w:r w:rsidR="003D422C" w:rsidRPr="00C123C3">
        <w:rPr>
          <w:rFonts w:ascii="Arial" w:hAnsi="Arial" w:cs="Arial"/>
          <w:color w:val="000000" w:themeColor="text1"/>
        </w:rPr>
        <w:t>al</w:t>
      </w:r>
      <w:r w:rsidR="005919DE" w:rsidRPr="00C123C3">
        <w:rPr>
          <w:rFonts w:ascii="Arial" w:hAnsi="Arial" w:cs="Arial"/>
          <w:color w:val="000000" w:themeColor="text1"/>
        </w:rPr>
        <w:t>.</w:t>
      </w:r>
      <w:r w:rsidR="00FF5C63" w:rsidRPr="00C123C3">
        <w:rPr>
          <w:rFonts w:ascii="Arial" w:hAnsi="Arial" w:cs="Arial"/>
          <w:color w:val="000000" w:themeColor="text1"/>
        </w:rPr>
        <w:t xml:space="preserve"> Carrageen</w:t>
      </w:r>
      <w:r w:rsidR="00DA25FD" w:rsidRPr="00C123C3">
        <w:rPr>
          <w:rFonts w:ascii="Arial" w:hAnsi="Arial" w:cs="Arial"/>
          <w:color w:val="000000" w:themeColor="text1"/>
        </w:rPr>
        <w:t xml:space="preserve">an </w:t>
      </w:r>
      <w:r w:rsidR="00DA25FD" w:rsidRPr="00C123C3">
        <w:rPr>
          <w:rFonts w:ascii="Arial" w:hAnsi="Arial" w:cs="Arial"/>
          <w:i/>
          <w:iCs/>
          <w:color w:val="000000" w:themeColor="text1"/>
        </w:rPr>
        <w:t>per se</w:t>
      </w:r>
      <w:r w:rsidR="00DA25FD" w:rsidRPr="00C123C3">
        <w:rPr>
          <w:rFonts w:ascii="Arial" w:hAnsi="Arial" w:cs="Arial"/>
          <w:color w:val="000000" w:themeColor="text1"/>
        </w:rPr>
        <w:t xml:space="preserve"> can induce inflammation and thereby increased the serum level TNF-α which explained our findings</w:t>
      </w:r>
      <w:r w:rsidR="00FB360A" w:rsidRPr="00C123C3">
        <w:rPr>
          <w:rFonts w:ascii="Arial" w:hAnsi="Arial" w:cs="Arial"/>
          <w:color w:val="000000" w:themeColor="text1"/>
        </w:rPr>
        <w:t xml:space="preserve"> </w:t>
      </w:r>
      <w:r w:rsidR="006609AB" w:rsidRPr="00C123C3">
        <w:rPr>
          <w:rFonts w:ascii="Arial" w:hAnsi="Arial" w:cs="Arial"/>
          <w:color w:val="000000" w:themeColor="text1"/>
        </w:rPr>
        <w:t>[19]</w:t>
      </w:r>
      <w:r w:rsidR="00DA25FD" w:rsidRPr="00C123C3">
        <w:rPr>
          <w:rFonts w:ascii="Arial" w:hAnsi="Arial" w:cs="Arial"/>
          <w:color w:val="000000" w:themeColor="text1"/>
        </w:rPr>
        <w:t>.</w:t>
      </w:r>
      <w:r w:rsidR="002F090B" w:rsidRPr="00C123C3">
        <w:rPr>
          <w:rFonts w:ascii="Arial" w:hAnsi="Arial" w:cs="Arial"/>
          <w:color w:val="000000" w:themeColor="text1"/>
        </w:rPr>
        <w:t xml:space="preserve"> The explanation of systemic oral vitamin D produced an increment of TNF-α level is a little bit com</w:t>
      </w:r>
      <w:r w:rsidR="003F2D87" w:rsidRPr="00C123C3">
        <w:rPr>
          <w:rFonts w:ascii="Arial" w:hAnsi="Arial" w:cs="Arial"/>
          <w:color w:val="000000" w:themeColor="text1"/>
        </w:rPr>
        <w:t>plicated. A significant weak inverse correlation between the serum level of TNF-α with the serum vitamin D was observed in patients with chronic periodontitis</w:t>
      </w:r>
      <w:r w:rsidR="006609AB" w:rsidRPr="00C123C3">
        <w:rPr>
          <w:rFonts w:ascii="Arial" w:hAnsi="Arial" w:cs="Arial"/>
          <w:color w:val="000000" w:themeColor="text1"/>
        </w:rPr>
        <w:t xml:space="preserve"> [20]</w:t>
      </w:r>
      <w:r w:rsidR="003F2D87" w:rsidRPr="00C123C3">
        <w:rPr>
          <w:rFonts w:ascii="Arial" w:hAnsi="Arial" w:cs="Arial"/>
          <w:color w:val="000000" w:themeColor="text1"/>
        </w:rPr>
        <w:t>. In breast cancer, the antiproliferative effect of vitamin D is enhanced by using TNF-α, in addition calcitriol enhances the synthesis of TNF-α</w:t>
      </w:r>
      <w:r w:rsidR="006609AB" w:rsidRPr="00C123C3">
        <w:rPr>
          <w:rFonts w:ascii="Arial" w:hAnsi="Arial" w:cs="Arial"/>
          <w:color w:val="000000" w:themeColor="text1"/>
        </w:rPr>
        <w:t xml:space="preserve"> [21]</w:t>
      </w:r>
      <w:r w:rsidR="003E70F5" w:rsidRPr="00C123C3">
        <w:rPr>
          <w:rFonts w:ascii="Arial" w:hAnsi="Arial" w:cs="Arial"/>
          <w:color w:val="000000" w:themeColor="text1"/>
        </w:rPr>
        <w:t xml:space="preserve">. Therefore, the positive effect of vitamin D on the serum level of TNF-α in rats bearing tumors confirmed the other studies that showed vitamin D has </w:t>
      </w:r>
      <w:r w:rsidR="003D422C" w:rsidRPr="00C123C3">
        <w:rPr>
          <w:rFonts w:ascii="Arial" w:hAnsi="Arial" w:cs="Arial"/>
          <w:color w:val="000000" w:themeColor="text1"/>
        </w:rPr>
        <w:t xml:space="preserve">an </w:t>
      </w:r>
      <w:r w:rsidR="003E70F5" w:rsidRPr="00C123C3">
        <w:rPr>
          <w:rFonts w:ascii="Arial" w:hAnsi="Arial" w:cs="Arial"/>
          <w:color w:val="000000" w:themeColor="text1"/>
        </w:rPr>
        <w:t>antiproliferative effect.</w:t>
      </w:r>
      <w:r w:rsidR="003F2D87" w:rsidRPr="00C123C3">
        <w:rPr>
          <w:rFonts w:ascii="Arial" w:hAnsi="Arial" w:cs="Arial"/>
          <w:color w:val="000000" w:themeColor="text1"/>
        </w:rPr>
        <w:t xml:space="preserve">  </w:t>
      </w:r>
      <w:r w:rsidR="00EA356F" w:rsidRPr="00C123C3">
        <w:rPr>
          <w:rFonts w:ascii="Arial" w:hAnsi="Arial" w:cs="Arial"/>
          <w:color w:val="000000" w:themeColor="text1"/>
        </w:rPr>
        <w:t xml:space="preserve">Concomitant using of oral administration of vitamin D and a topical application of </w:t>
      </w:r>
      <w:r w:rsidR="0057269B" w:rsidRPr="00C123C3">
        <w:rPr>
          <w:rFonts w:ascii="Arial" w:hAnsi="Arial" w:cs="Arial"/>
        </w:rPr>
        <w:t>κ-carrageenan</w:t>
      </w:r>
      <w:r w:rsidR="00EA356F" w:rsidRPr="00C123C3">
        <w:rPr>
          <w:rFonts w:ascii="Arial" w:hAnsi="Arial" w:cs="Arial"/>
          <w:color w:val="000000" w:themeColor="text1"/>
        </w:rPr>
        <w:t xml:space="preserve"> resulted in a non-considerable increment of TNF-α levels indicating that each substance acts in different signal</w:t>
      </w:r>
      <w:r w:rsidR="003D422C" w:rsidRPr="00C123C3">
        <w:rPr>
          <w:rFonts w:ascii="Arial" w:hAnsi="Arial" w:cs="Arial"/>
          <w:color w:val="000000" w:themeColor="text1"/>
        </w:rPr>
        <w:t>l</w:t>
      </w:r>
      <w:r w:rsidR="00EA356F" w:rsidRPr="00C123C3">
        <w:rPr>
          <w:rFonts w:ascii="Arial" w:hAnsi="Arial" w:cs="Arial"/>
          <w:color w:val="000000" w:themeColor="text1"/>
        </w:rPr>
        <w:t>ing pathway res</w:t>
      </w:r>
      <w:r w:rsidR="009D4297" w:rsidRPr="00C123C3">
        <w:rPr>
          <w:rFonts w:ascii="Arial" w:hAnsi="Arial" w:cs="Arial"/>
          <w:color w:val="000000" w:themeColor="text1"/>
        </w:rPr>
        <w:t>ulting in a term of antagonism in the synthesis or generation of TNF-α.</w:t>
      </w:r>
      <w:r w:rsidR="002665AC" w:rsidRPr="00C123C3">
        <w:rPr>
          <w:rFonts w:ascii="Arial" w:hAnsi="Arial" w:cs="Arial"/>
          <w:color w:val="000000" w:themeColor="text1"/>
        </w:rPr>
        <w:t xml:space="preserve"> </w:t>
      </w:r>
      <w:r w:rsidR="002665AC" w:rsidRPr="00C123C3">
        <w:rPr>
          <w:rFonts w:ascii="Arial" w:hAnsi="Arial" w:cs="Arial"/>
        </w:rPr>
        <w:t>Serum level of EGFR is significantly decreased in rats bearing tumor</w:t>
      </w:r>
      <w:r w:rsidR="0057269B" w:rsidRPr="00C123C3">
        <w:rPr>
          <w:rFonts w:ascii="Arial" w:hAnsi="Arial" w:cs="Arial"/>
        </w:rPr>
        <w:t>.</w:t>
      </w:r>
      <w:r w:rsidR="002665AC" w:rsidRPr="00C123C3">
        <w:rPr>
          <w:rFonts w:ascii="Arial" w:hAnsi="Arial" w:cs="Arial"/>
        </w:rPr>
        <w:t xml:space="preserve"> </w:t>
      </w:r>
      <w:r w:rsidR="0057269B" w:rsidRPr="00C123C3">
        <w:rPr>
          <w:rFonts w:ascii="Arial" w:hAnsi="Arial" w:cs="Arial"/>
        </w:rPr>
        <w:t>Current</w:t>
      </w:r>
      <w:r w:rsidR="002665AC" w:rsidRPr="00C123C3">
        <w:rPr>
          <w:rFonts w:ascii="Arial" w:hAnsi="Arial" w:cs="Arial"/>
        </w:rPr>
        <w:t xml:space="preserve"> studies demonstrated </w:t>
      </w:r>
      <w:r w:rsidR="002665AC" w:rsidRPr="00C123C3">
        <w:rPr>
          <w:rFonts w:ascii="Arial" w:hAnsi="Arial" w:cs="Arial"/>
        </w:rPr>
        <w:lastRenderedPageBreak/>
        <w:t xml:space="preserve">that the expression of EGFR in oral squamous cell carcinoma is less than other markers </w:t>
      </w:r>
      <w:r w:rsidR="006609AB" w:rsidRPr="00C123C3">
        <w:rPr>
          <w:rFonts w:ascii="Arial" w:hAnsi="Arial" w:cs="Arial"/>
        </w:rPr>
        <w:t>[</w:t>
      </w:r>
      <w:r w:rsidR="006C3B56" w:rsidRPr="00C123C3">
        <w:rPr>
          <w:rFonts w:ascii="Arial" w:hAnsi="Arial" w:cs="Arial"/>
        </w:rPr>
        <w:t>22</w:t>
      </w:r>
      <w:r w:rsidR="006609AB" w:rsidRPr="00C123C3">
        <w:rPr>
          <w:rFonts w:ascii="Arial" w:hAnsi="Arial" w:cs="Arial"/>
        </w:rPr>
        <w:t>]</w:t>
      </w:r>
      <w:r w:rsidR="002665AC" w:rsidRPr="00C123C3">
        <w:rPr>
          <w:rFonts w:ascii="Arial" w:hAnsi="Arial" w:cs="Arial"/>
        </w:rPr>
        <w:t>.</w:t>
      </w:r>
      <w:r w:rsidR="002665AC" w:rsidRPr="00C123C3">
        <w:rPr>
          <w:rFonts w:ascii="Arial" w:hAnsi="Arial" w:cs="Arial"/>
          <w:color w:val="000000" w:themeColor="text1"/>
        </w:rPr>
        <w:t xml:space="preserve"> </w:t>
      </w:r>
      <w:r w:rsidR="00722EED" w:rsidRPr="00C123C3">
        <w:rPr>
          <w:rFonts w:ascii="Arial" w:hAnsi="Arial" w:cs="Arial"/>
          <w:color w:val="000000" w:themeColor="text1"/>
        </w:rPr>
        <w:t xml:space="preserve"> </w:t>
      </w:r>
      <w:r w:rsidR="00722EED" w:rsidRPr="00C123C3">
        <w:rPr>
          <w:rFonts w:ascii="Arial" w:hAnsi="Arial" w:cs="Arial"/>
        </w:rPr>
        <w:t xml:space="preserve">        </w:t>
      </w:r>
      <w:r w:rsidR="00722EED" w:rsidRPr="00C123C3">
        <w:rPr>
          <w:rFonts w:ascii="Arial" w:hAnsi="Arial" w:cs="Arial"/>
          <w:color w:val="000000" w:themeColor="text1"/>
        </w:rPr>
        <w:t xml:space="preserve"> </w:t>
      </w:r>
    </w:p>
    <w:p w:rsidR="007564B0" w:rsidRPr="00C123C3" w:rsidRDefault="0057269B" w:rsidP="00C17DD6">
      <w:pPr>
        <w:pStyle w:val="desc"/>
        <w:shd w:val="clear" w:color="auto" w:fill="FFFFFF"/>
        <w:spacing w:before="0" w:beforeAutospacing="0" w:after="0" w:afterAutospacing="0" w:line="480" w:lineRule="auto"/>
        <w:jc w:val="lowKashida"/>
        <w:rPr>
          <w:rFonts w:ascii="Arial" w:hAnsi="Arial" w:cs="Arial"/>
        </w:rPr>
      </w:pPr>
      <w:r w:rsidRPr="00C123C3">
        <w:rPr>
          <w:rFonts w:ascii="Arial" w:hAnsi="Arial" w:cs="Arial"/>
        </w:rPr>
        <w:t>κ-carrageenan</w:t>
      </w:r>
      <w:r w:rsidRPr="00C123C3">
        <w:rPr>
          <w:rFonts w:ascii="Arial" w:hAnsi="Arial" w:cs="Arial"/>
          <w:color w:val="000000" w:themeColor="text1"/>
        </w:rPr>
        <w:t xml:space="preserve"> significantly decreases the serum level </w:t>
      </w:r>
      <w:r w:rsidRPr="00C123C3">
        <w:rPr>
          <w:rFonts w:ascii="Arial" w:hAnsi="Arial" w:cs="Arial"/>
        </w:rPr>
        <w:t xml:space="preserve">EGFR in rat bearing tumor while vitamin D does not have this effect. As early as 1997, He et al </w:t>
      </w:r>
      <w:r w:rsidR="006609AB" w:rsidRPr="00C123C3">
        <w:rPr>
          <w:rFonts w:ascii="Arial" w:hAnsi="Arial" w:cs="Arial"/>
        </w:rPr>
        <w:t>[23]</w:t>
      </w:r>
      <w:r w:rsidR="002A05B8" w:rsidRPr="00C123C3">
        <w:rPr>
          <w:rFonts w:ascii="Arial" w:hAnsi="Arial" w:cs="Arial"/>
        </w:rPr>
        <w:t xml:space="preserve"> </w:t>
      </w:r>
      <w:r w:rsidRPr="00C123C3">
        <w:rPr>
          <w:rFonts w:ascii="Arial" w:hAnsi="Arial" w:cs="Arial"/>
        </w:rPr>
        <w:t>reported that the selenocarrageenan sup</w:t>
      </w:r>
      <w:r w:rsidR="003D422C" w:rsidRPr="00C123C3">
        <w:rPr>
          <w:rFonts w:ascii="Arial" w:hAnsi="Arial" w:cs="Arial"/>
        </w:rPr>
        <w:t>pressed the proliferation of</w:t>
      </w:r>
      <w:r w:rsidRPr="00C123C3">
        <w:rPr>
          <w:rFonts w:ascii="Arial" w:hAnsi="Arial" w:cs="Arial"/>
        </w:rPr>
        <w:t xml:space="preserve"> breast </w:t>
      </w:r>
      <w:r w:rsidR="003D422C" w:rsidRPr="00C123C3">
        <w:rPr>
          <w:rFonts w:ascii="Arial" w:hAnsi="Arial" w:cs="Arial"/>
        </w:rPr>
        <w:t xml:space="preserve">cancer </w:t>
      </w:r>
      <w:r w:rsidRPr="00C123C3">
        <w:rPr>
          <w:rFonts w:ascii="Arial" w:hAnsi="Arial" w:cs="Arial"/>
        </w:rPr>
        <w:t xml:space="preserve">cell by a mechanism related to the regulation of EGFR. Again, the level of EGFR is higher in rats treated with combined therapy of vitamin D and κ-carrageenan indicating an antagonism between these substances.  It is important to emphasize </w:t>
      </w:r>
      <w:r w:rsidRPr="00C123C3">
        <w:rPr>
          <w:rFonts w:ascii="Arial" w:hAnsi="Arial" w:cs="Arial"/>
          <w:i/>
          <w:iCs/>
        </w:rPr>
        <w:t xml:space="preserve">herein </w:t>
      </w:r>
      <w:r w:rsidRPr="00C123C3">
        <w:rPr>
          <w:rFonts w:ascii="Arial" w:hAnsi="Arial" w:cs="Arial"/>
        </w:rPr>
        <w:t>that EGFR level tended to be decrease</w:t>
      </w:r>
      <w:r w:rsidR="003D422C" w:rsidRPr="00C123C3">
        <w:rPr>
          <w:rFonts w:ascii="Arial" w:hAnsi="Arial" w:cs="Arial"/>
        </w:rPr>
        <w:t>d</w:t>
      </w:r>
      <w:r w:rsidRPr="00C123C3">
        <w:rPr>
          <w:rFonts w:ascii="Arial" w:hAnsi="Arial" w:cs="Arial"/>
        </w:rPr>
        <w:t xml:space="preserve"> in oral cell carcinoma, and a further decrease by PEG-8000 indicates a good prognosis</w:t>
      </w:r>
      <w:r w:rsidR="004D480B" w:rsidRPr="00C123C3">
        <w:rPr>
          <w:rFonts w:ascii="Arial" w:hAnsi="Arial" w:cs="Arial"/>
        </w:rPr>
        <w:t xml:space="preserve">. </w:t>
      </w:r>
    </w:p>
    <w:p w:rsidR="007564B0" w:rsidRPr="00C123C3" w:rsidRDefault="006609AB" w:rsidP="00C17DD6">
      <w:pPr>
        <w:pStyle w:val="desc"/>
        <w:shd w:val="clear" w:color="auto" w:fill="FFFFFF"/>
        <w:spacing w:before="0" w:beforeAutospacing="0" w:after="0" w:afterAutospacing="0" w:line="480" w:lineRule="auto"/>
        <w:jc w:val="lowKashida"/>
        <w:rPr>
          <w:rFonts w:ascii="Arial" w:hAnsi="Arial" w:cs="Arial"/>
          <w:b/>
          <w:bCs/>
        </w:rPr>
      </w:pPr>
      <w:r w:rsidRPr="00C123C3">
        <w:rPr>
          <w:rFonts w:ascii="Arial" w:hAnsi="Arial" w:cs="Arial"/>
          <w:b/>
          <w:bCs/>
        </w:rPr>
        <w:t>Conclusion</w:t>
      </w:r>
    </w:p>
    <w:p w:rsidR="00966BF0" w:rsidRPr="00C123C3" w:rsidRDefault="004D480B" w:rsidP="00C17DD6">
      <w:pPr>
        <w:pStyle w:val="desc"/>
        <w:shd w:val="clear" w:color="auto" w:fill="FFFFFF"/>
        <w:spacing w:before="0" w:beforeAutospacing="0" w:after="0" w:afterAutospacing="0" w:line="480" w:lineRule="auto"/>
        <w:jc w:val="lowKashida"/>
        <w:rPr>
          <w:rFonts w:ascii="Arial" w:hAnsi="Arial" w:cs="Arial"/>
        </w:rPr>
      </w:pPr>
      <w:r w:rsidRPr="00C123C3">
        <w:rPr>
          <w:rFonts w:ascii="Arial" w:hAnsi="Arial" w:cs="Arial"/>
        </w:rPr>
        <w:t xml:space="preserve">We conclude that </w:t>
      </w:r>
      <w:r w:rsidR="002865CF" w:rsidRPr="00C123C3">
        <w:rPr>
          <w:rFonts w:ascii="Arial" w:hAnsi="Arial" w:cs="Arial"/>
        </w:rPr>
        <w:t xml:space="preserve">both κ-carrageenan and vitamin D have antiproliferative effect against DMBA-inducing oral cancer by increasing the levels of </w:t>
      </w:r>
      <w:r w:rsidR="002865CF" w:rsidRPr="00C123C3">
        <w:rPr>
          <w:rFonts w:ascii="Arial" w:hAnsi="Arial" w:cs="Arial"/>
          <w:color w:val="000000" w:themeColor="text1"/>
        </w:rPr>
        <w:t>TNF-α</w:t>
      </w:r>
      <w:r w:rsidR="002A05B8" w:rsidRPr="00C123C3">
        <w:rPr>
          <w:rFonts w:ascii="Arial" w:hAnsi="Arial" w:cs="Arial"/>
        </w:rPr>
        <w:t xml:space="preserve"> and suppressing the signal</w:t>
      </w:r>
      <w:r w:rsidR="002865CF" w:rsidRPr="00C123C3">
        <w:rPr>
          <w:rFonts w:ascii="Arial" w:hAnsi="Arial" w:cs="Arial"/>
        </w:rPr>
        <w:t>ing pathway of EGFR.</w:t>
      </w:r>
      <w:r w:rsidRPr="00C123C3">
        <w:rPr>
          <w:rFonts w:ascii="Arial" w:hAnsi="Arial" w:cs="Arial"/>
        </w:rPr>
        <w:t xml:space="preserve"> </w:t>
      </w:r>
      <w:r w:rsidR="003D422C" w:rsidRPr="00C123C3">
        <w:rPr>
          <w:rFonts w:ascii="Arial" w:hAnsi="Arial" w:cs="Arial"/>
        </w:rPr>
        <w:t xml:space="preserve">Concomitant using </w:t>
      </w:r>
      <w:r w:rsidRPr="00C123C3">
        <w:rPr>
          <w:rFonts w:ascii="Arial" w:hAnsi="Arial" w:cs="Arial"/>
        </w:rPr>
        <w:t>κ-carrageenan and vitamin D reduces the antiproliferative effect of each oth</w:t>
      </w:r>
      <w:r w:rsidR="003D422C" w:rsidRPr="00C123C3">
        <w:rPr>
          <w:rFonts w:ascii="Arial" w:hAnsi="Arial" w:cs="Arial"/>
        </w:rPr>
        <w:t>er</w:t>
      </w:r>
      <w:r w:rsidR="00BA79D9" w:rsidRPr="00C123C3">
        <w:rPr>
          <w:rFonts w:ascii="Arial" w:hAnsi="Arial" w:cs="Arial"/>
        </w:rPr>
        <w:t>.</w:t>
      </w:r>
      <w:r w:rsidRPr="00C123C3">
        <w:rPr>
          <w:rFonts w:ascii="Arial" w:hAnsi="Arial" w:cs="Arial"/>
        </w:rPr>
        <w:t xml:space="preserve">  </w:t>
      </w:r>
    </w:p>
    <w:p w:rsidR="00E012A5" w:rsidRPr="00C123C3" w:rsidRDefault="00E012A5" w:rsidP="00C17DD6">
      <w:pPr>
        <w:pStyle w:val="Title1"/>
        <w:shd w:val="clear" w:color="auto" w:fill="FFFFFF"/>
        <w:spacing w:before="0" w:beforeAutospacing="0" w:after="0" w:afterAutospacing="0" w:line="480" w:lineRule="auto"/>
        <w:rPr>
          <w:rFonts w:ascii="Arial" w:hAnsi="Arial" w:cs="Arial"/>
          <w:color w:val="000000" w:themeColor="text1"/>
        </w:rPr>
      </w:pPr>
    </w:p>
    <w:p w:rsidR="00E012A5" w:rsidRPr="00C123C3" w:rsidRDefault="004B0481" w:rsidP="00C17DD6">
      <w:pPr>
        <w:pStyle w:val="Title1"/>
        <w:shd w:val="clear" w:color="auto" w:fill="FFFFFF"/>
        <w:spacing w:before="0" w:beforeAutospacing="0" w:after="0" w:afterAutospacing="0" w:line="480" w:lineRule="auto"/>
        <w:rPr>
          <w:rFonts w:ascii="Arial" w:hAnsi="Arial" w:cs="Arial"/>
          <w:color w:val="000000" w:themeColor="text1"/>
        </w:rPr>
      </w:pPr>
      <w:r w:rsidRPr="00C123C3">
        <w:rPr>
          <w:rFonts w:ascii="Arial" w:hAnsi="Arial" w:cs="Arial"/>
          <w:b/>
          <w:bCs/>
          <w:color w:val="000000" w:themeColor="text1"/>
        </w:rPr>
        <w:t>Acknowledgement:</w:t>
      </w:r>
      <w:r w:rsidRPr="00C123C3">
        <w:rPr>
          <w:rFonts w:ascii="Arial" w:hAnsi="Arial" w:cs="Arial"/>
          <w:color w:val="000000" w:themeColor="text1"/>
        </w:rPr>
        <w:t xml:space="preserve"> The author express their appreciation to the Dean of the Faculty for supporting this study.</w:t>
      </w:r>
    </w:p>
    <w:p w:rsidR="004B0481" w:rsidRPr="00C123C3" w:rsidRDefault="004B0481" w:rsidP="00C17DD6">
      <w:pPr>
        <w:pStyle w:val="Title1"/>
        <w:shd w:val="clear" w:color="auto" w:fill="FFFFFF"/>
        <w:spacing w:before="0" w:beforeAutospacing="0" w:after="0" w:afterAutospacing="0" w:line="480" w:lineRule="auto"/>
        <w:rPr>
          <w:rFonts w:ascii="Arial" w:hAnsi="Arial" w:cs="Arial"/>
          <w:color w:val="000000" w:themeColor="text1"/>
        </w:rPr>
      </w:pPr>
      <w:r w:rsidRPr="00C123C3">
        <w:rPr>
          <w:rFonts w:ascii="Arial" w:hAnsi="Arial" w:cs="Arial"/>
          <w:b/>
          <w:bCs/>
          <w:color w:val="000000" w:themeColor="text1"/>
        </w:rPr>
        <w:t>Conflicts of interest:</w:t>
      </w:r>
      <w:r w:rsidRPr="00C123C3">
        <w:rPr>
          <w:rFonts w:ascii="Arial" w:hAnsi="Arial" w:cs="Arial"/>
          <w:color w:val="000000" w:themeColor="text1"/>
        </w:rPr>
        <w:t xml:space="preserve"> nil</w:t>
      </w:r>
    </w:p>
    <w:p w:rsidR="004B0481" w:rsidRPr="00C123C3" w:rsidRDefault="004B0481" w:rsidP="00C17DD6">
      <w:pPr>
        <w:pStyle w:val="Title1"/>
        <w:shd w:val="clear" w:color="auto" w:fill="FFFFFF"/>
        <w:spacing w:before="0" w:beforeAutospacing="0" w:after="0" w:afterAutospacing="0" w:line="480" w:lineRule="auto"/>
        <w:rPr>
          <w:rFonts w:ascii="Arial" w:hAnsi="Arial" w:cs="Arial"/>
          <w:color w:val="000000" w:themeColor="text1"/>
        </w:rPr>
      </w:pPr>
      <w:r w:rsidRPr="00C123C3">
        <w:rPr>
          <w:rFonts w:ascii="Arial" w:hAnsi="Arial" w:cs="Arial"/>
          <w:b/>
          <w:bCs/>
          <w:color w:val="000000" w:themeColor="text1"/>
        </w:rPr>
        <w:t>Funding:</w:t>
      </w:r>
      <w:r w:rsidRPr="00C123C3">
        <w:rPr>
          <w:rFonts w:ascii="Arial" w:hAnsi="Arial" w:cs="Arial"/>
          <w:color w:val="000000" w:themeColor="text1"/>
        </w:rPr>
        <w:t xml:space="preserve"> The College of Dentistry at the University of Baghdad </w:t>
      </w:r>
    </w:p>
    <w:p w:rsidR="004B0481" w:rsidRPr="00C123C3" w:rsidRDefault="004B0481" w:rsidP="00C17DD6">
      <w:pPr>
        <w:pStyle w:val="Title1"/>
        <w:shd w:val="clear" w:color="auto" w:fill="FFFFFF"/>
        <w:spacing w:before="0" w:beforeAutospacing="0" w:after="0" w:afterAutospacing="0" w:line="480" w:lineRule="auto"/>
        <w:rPr>
          <w:rFonts w:ascii="Arial" w:hAnsi="Arial" w:cs="Arial"/>
          <w:color w:val="000000" w:themeColor="text1"/>
        </w:rPr>
      </w:pPr>
      <w:r w:rsidRPr="00C123C3">
        <w:rPr>
          <w:rFonts w:ascii="Arial" w:hAnsi="Arial" w:cs="Arial"/>
          <w:b/>
          <w:bCs/>
          <w:color w:val="000000" w:themeColor="text1"/>
        </w:rPr>
        <w:t>Author contribution</w:t>
      </w:r>
      <w:r w:rsidRPr="00C123C3">
        <w:rPr>
          <w:rFonts w:ascii="Arial" w:hAnsi="Arial" w:cs="Arial"/>
          <w:color w:val="000000" w:themeColor="text1"/>
        </w:rPr>
        <w:t>: equally shared with this study</w:t>
      </w:r>
    </w:p>
    <w:p w:rsidR="002A05B8" w:rsidRPr="00C123C3" w:rsidRDefault="002A05B8" w:rsidP="00C17DD6">
      <w:pPr>
        <w:pStyle w:val="Title1"/>
        <w:shd w:val="clear" w:color="auto" w:fill="FFFFFF"/>
        <w:spacing w:before="0" w:beforeAutospacing="0" w:after="0" w:afterAutospacing="0" w:line="480" w:lineRule="auto"/>
        <w:rPr>
          <w:rFonts w:ascii="Arial" w:hAnsi="Arial" w:cs="Arial"/>
          <w:b/>
          <w:bCs/>
          <w:color w:val="000000" w:themeColor="text1"/>
        </w:rPr>
      </w:pPr>
    </w:p>
    <w:p w:rsidR="000900E3" w:rsidRDefault="000900E3" w:rsidP="00C17DD6">
      <w:pPr>
        <w:pStyle w:val="Title1"/>
        <w:shd w:val="clear" w:color="auto" w:fill="FFFFFF"/>
        <w:spacing w:before="0" w:beforeAutospacing="0" w:after="0" w:afterAutospacing="0" w:line="480" w:lineRule="auto"/>
        <w:rPr>
          <w:rFonts w:ascii="Arial" w:hAnsi="Arial" w:cs="Arial"/>
          <w:b/>
          <w:bCs/>
          <w:color w:val="000000" w:themeColor="text1"/>
        </w:rPr>
      </w:pPr>
    </w:p>
    <w:p w:rsidR="000900E3" w:rsidRDefault="000900E3" w:rsidP="00C17DD6">
      <w:pPr>
        <w:pStyle w:val="Title1"/>
        <w:shd w:val="clear" w:color="auto" w:fill="FFFFFF"/>
        <w:spacing w:before="0" w:beforeAutospacing="0" w:after="0" w:afterAutospacing="0" w:line="480" w:lineRule="auto"/>
        <w:rPr>
          <w:rFonts w:ascii="Arial" w:hAnsi="Arial" w:cs="Arial"/>
          <w:b/>
          <w:bCs/>
          <w:color w:val="000000" w:themeColor="text1"/>
        </w:rPr>
      </w:pPr>
    </w:p>
    <w:p w:rsidR="00E75E79" w:rsidRPr="00C123C3" w:rsidRDefault="00CF6B7F" w:rsidP="00C17DD6">
      <w:pPr>
        <w:pStyle w:val="Title1"/>
        <w:shd w:val="clear" w:color="auto" w:fill="FFFFFF"/>
        <w:spacing w:before="0" w:beforeAutospacing="0" w:after="0" w:afterAutospacing="0" w:line="480" w:lineRule="auto"/>
        <w:rPr>
          <w:rFonts w:ascii="Arial" w:hAnsi="Arial" w:cs="Arial"/>
        </w:rPr>
      </w:pPr>
      <w:r w:rsidRPr="00C123C3">
        <w:rPr>
          <w:rFonts w:ascii="Arial" w:hAnsi="Arial" w:cs="Arial"/>
          <w:b/>
          <w:bCs/>
          <w:color w:val="000000" w:themeColor="text1"/>
        </w:rPr>
        <w:lastRenderedPageBreak/>
        <w:t>REFERENCES</w:t>
      </w:r>
      <w:r w:rsidRPr="00C123C3">
        <w:rPr>
          <w:rFonts w:ascii="Arial" w:hAnsi="Arial" w:cs="Arial"/>
        </w:rPr>
        <w:tab/>
      </w:r>
      <w:r w:rsidR="00E75E79" w:rsidRPr="00C123C3">
        <w:rPr>
          <w:rFonts w:ascii="Arial" w:hAnsi="Arial" w:cs="Arial"/>
        </w:rPr>
        <w:tab/>
      </w:r>
    </w:p>
    <w:p w:rsidR="003A70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 xml:space="preserve">Wright KD, Miller BS, El-Meanawy S, Tsaih SW, Banerjee A, Geurts AM, </w:t>
      </w:r>
      <w:r w:rsidR="003A7061" w:rsidRPr="00C123C3">
        <w:rPr>
          <w:rFonts w:ascii="Arial" w:hAnsi="Arial" w:cs="Arial"/>
          <w:color w:val="000000" w:themeColor="text1"/>
        </w:rPr>
        <w:t>et al</w:t>
      </w:r>
      <w:r w:rsidRPr="00C123C3">
        <w:rPr>
          <w:rFonts w:ascii="Arial" w:hAnsi="Arial" w:cs="Arial"/>
          <w:color w:val="000000" w:themeColor="text1"/>
        </w:rPr>
        <w:t xml:space="preserve">. </w:t>
      </w:r>
      <w:hyperlink r:id="rId6" w:history="1">
        <w:r w:rsidRPr="00C123C3">
          <w:rPr>
            <w:rStyle w:val="Hyperlink"/>
            <w:rFonts w:ascii="Arial" w:hAnsi="Arial" w:cs="Arial"/>
            <w:color w:val="000000" w:themeColor="text1"/>
            <w:u w:val="none"/>
          </w:rPr>
          <w:t>The p52 isoform of SHC1 is a key driver of breast cancer initiation.</w:t>
        </w:r>
      </w:hyperlink>
      <w:r w:rsidRPr="00C123C3">
        <w:rPr>
          <w:rStyle w:val="jrnl"/>
          <w:rFonts w:ascii="Arial" w:hAnsi="Arial" w:cs="Arial"/>
          <w:color w:val="000000" w:themeColor="text1"/>
        </w:rPr>
        <w:t xml:space="preserve"> Breast Cancer Res</w:t>
      </w:r>
      <w:r w:rsidR="003A7061" w:rsidRPr="00C123C3">
        <w:rPr>
          <w:rStyle w:val="jrnl"/>
          <w:rFonts w:ascii="Arial" w:hAnsi="Arial" w:cs="Arial"/>
          <w:color w:val="000000" w:themeColor="text1"/>
        </w:rPr>
        <w:t>.</w:t>
      </w:r>
      <w:r w:rsidRPr="00C123C3">
        <w:rPr>
          <w:rFonts w:ascii="Arial" w:hAnsi="Arial" w:cs="Arial"/>
          <w:color w:val="000000" w:themeColor="text1"/>
        </w:rPr>
        <w:t>2019</w:t>
      </w:r>
      <w:r w:rsidR="003A7061" w:rsidRPr="00C123C3">
        <w:rPr>
          <w:rFonts w:ascii="Arial" w:hAnsi="Arial" w:cs="Arial"/>
          <w:color w:val="000000"/>
          <w:shd w:val="clear" w:color="auto" w:fill="FFFFFF"/>
        </w:rPr>
        <w:t xml:space="preserve"> Jun 15;21(1):74.</w:t>
      </w:r>
      <w:r w:rsidR="003A7061" w:rsidRPr="00C123C3">
        <w:rPr>
          <w:rFonts w:ascii="Arial" w:hAnsi="Arial" w:cs="Arial"/>
        </w:rPr>
        <w:t xml:space="preserve"> </w:t>
      </w:r>
    </w:p>
    <w:p w:rsidR="003A7061" w:rsidRPr="00C123C3" w:rsidRDefault="00E75E79"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rPr>
        <w:t xml:space="preserve">Alyoussef A, Taha M. </w:t>
      </w:r>
      <w:hyperlink r:id="rId7" w:history="1">
        <w:r w:rsidRPr="00C123C3">
          <w:rPr>
            <w:rStyle w:val="Hyperlink"/>
            <w:rFonts w:ascii="Arial" w:hAnsi="Arial" w:cs="Arial"/>
            <w:color w:val="auto"/>
            <w:u w:val="none"/>
          </w:rPr>
          <w:t>Blocking Wnt as a therapeutic target in mice model of skin cancer.</w:t>
        </w:r>
      </w:hyperlink>
      <w:r w:rsidRPr="00C123C3">
        <w:rPr>
          <w:rFonts w:ascii="Arial" w:hAnsi="Arial" w:cs="Arial"/>
        </w:rPr>
        <w:t xml:space="preserve"> </w:t>
      </w:r>
      <w:r w:rsidRPr="00C123C3">
        <w:rPr>
          <w:rStyle w:val="jrnl"/>
          <w:rFonts w:ascii="Arial" w:hAnsi="Arial" w:cs="Arial"/>
        </w:rPr>
        <w:t>Arch Dermatol Res</w:t>
      </w:r>
      <w:r w:rsidR="003A7061" w:rsidRPr="00C123C3">
        <w:rPr>
          <w:rFonts w:ascii="Arial" w:hAnsi="Arial" w:cs="Arial"/>
        </w:rPr>
        <w:t>.</w:t>
      </w:r>
      <w:r w:rsidR="003A7061" w:rsidRPr="00C123C3">
        <w:rPr>
          <w:rFonts w:ascii="Arial" w:hAnsi="Arial" w:cs="Arial"/>
          <w:color w:val="000000"/>
          <w:shd w:val="clear" w:color="auto" w:fill="FFFFFF"/>
        </w:rPr>
        <w:t>2019 Oct;311(8):595-605</w:t>
      </w:r>
      <w:r w:rsidR="003A7061" w:rsidRPr="00C123C3">
        <w:rPr>
          <w:rFonts w:ascii="Arial" w:hAnsi="Arial" w:cs="Arial"/>
          <w:color w:val="000000" w:themeColor="text1"/>
        </w:rPr>
        <w:t>.</w:t>
      </w:r>
    </w:p>
    <w:p w:rsidR="003A70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 xml:space="preserve">Zingue S, Kamga Silihe K, Fouba Bourfane I, Boukar A, Tueche AB, Njuh AN, </w:t>
      </w:r>
      <w:r w:rsidR="003A7061" w:rsidRPr="00C123C3">
        <w:rPr>
          <w:rFonts w:ascii="Arial" w:hAnsi="Arial" w:cs="Arial"/>
          <w:color w:val="000000" w:themeColor="text1"/>
        </w:rPr>
        <w:t>et al</w:t>
      </w:r>
      <w:r w:rsidRPr="00C123C3">
        <w:rPr>
          <w:rFonts w:ascii="Arial" w:hAnsi="Arial" w:cs="Arial"/>
          <w:color w:val="000000" w:themeColor="text1"/>
        </w:rPr>
        <w:t xml:space="preserve">. </w:t>
      </w:r>
      <w:hyperlink r:id="rId8" w:history="1">
        <w:r w:rsidRPr="00C123C3">
          <w:rPr>
            <w:rStyle w:val="Hyperlink"/>
            <w:rFonts w:ascii="Arial" w:hAnsi="Arial" w:cs="Arial"/>
            <w:color w:val="000000" w:themeColor="text1"/>
            <w:u w:val="none"/>
          </w:rPr>
          <w:t>Potential of regular consumption of Cameroonian Neem (</w:t>
        </w:r>
        <w:r w:rsidRPr="00C123C3">
          <w:rPr>
            <w:rStyle w:val="Hyperlink"/>
            <w:rFonts w:ascii="Arial" w:hAnsi="Arial" w:cs="Arial"/>
            <w:i/>
            <w:iCs/>
            <w:color w:val="000000" w:themeColor="text1"/>
            <w:u w:val="none"/>
          </w:rPr>
          <w:t>Azadirachta indica</w:t>
        </w:r>
        <w:r w:rsidRPr="00C123C3">
          <w:rPr>
            <w:rStyle w:val="Hyperlink"/>
            <w:rFonts w:ascii="Arial" w:hAnsi="Arial" w:cs="Arial"/>
            <w:color w:val="000000" w:themeColor="text1"/>
            <w:u w:val="none"/>
          </w:rPr>
          <w:t> L.) oil for prevention of the 7,12-dimethylbenz(a)anthracene-induced breast cancer in high-fat/sucrose-fed Wistar rats.</w:t>
        </w:r>
      </w:hyperlink>
      <w:r w:rsidRPr="00C123C3">
        <w:rPr>
          <w:rFonts w:ascii="Arial" w:hAnsi="Arial" w:cs="Arial"/>
          <w:color w:val="000000" w:themeColor="text1"/>
        </w:rPr>
        <w:t xml:space="preserve"> </w:t>
      </w:r>
      <w:r w:rsidRPr="00C123C3">
        <w:rPr>
          <w:rStyle w:val="jrnl"/>
          <w:rFonts w:ascii="Arial" w:hAnsi="Arial" w:cs="Arial"/>
          <w:color w:val="000000" w:themeColor="text1"/>
        </w:rPr>
        <w:t>Evid Based Complement Alternat Med</w:t>
      </w:r>
      <w:r w:rsidR="003A7061" w:rsidRPr="00C123C3">
        <w:rPr>
          <w:rStyle w:val="jrnl"/>
          <w:rFonts w:ascii="Arial" w:hAnsi="Arial" w:cs="Arial"/>
          <w:color w:val="000000" w:themeColor="text1"/>
        </w:rPr>
        <w:t>.</w:t>
      </w:r>
      <w:r w:rsidR="003A7061" w:rsidRPr="00C123C3">
        <w:rPr>
          <w:rFonts w:ascii="Arial" w:hAnsi="Arial" w:cs="Arial"/>
          <w:color w:val="000000"/>
          <w:shd w:val="clear" w:color="auto" w:fill="FFFFFF"/>
        </w:rPr>
        <w:t>2019 Apr 7;2019:2031460.</w:t>
      </w:r>
      <w:r w:rsidRPr="00C123C3">
        <w:rPr>
          <w:rFonts w:ascii="Arial" w:hAnsi="Arial" w:cs="Arial"/>
          <w:color w:val="000000" w:themeColor="text1"/>
        </w:rPr>
        <w:t>.</w:t>
      </w:r>
    </w:p>
    <w:p w:rsidR="003A70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 xml:space="preserve">Zeweil MM, Sadek KM, Taha NM, El-Sayed Y, Menshawy S. </w:t>
      </w:r>
      <w:hyperlink r:id="rId9" w:history="1">
        <w:r w:rsidRPr="00C123C3">
          <w:rPr>
            <w:rStyle w:val="Hyperlink"/>
            <w:rFonts w:ascii="Arial" w:hAnsi="Arial" w:cs="Arial"/>
            <w:color w:val="000000" w:themeColor="text1"/>
            <w:u w:val="none"/>
          </w:rPr>
          <w:t>Graviola attenuates DMBA-induced breast cancer possibly through augmenting apoptosis and antioxidant pathway and downregulating estrogen receptors.</w:t>
        </w:r>
      </w:hyperlink>
      <w:r w:rsidRPr="00C123C3">
        <w:rPr>
          <w:rFonts w:ascii="Arial" w:hAnsi="Arial" w:cs="Arial"/>
          <w:color w:val="000000" w:themeColor="text1"/>
        </w:rPr>
        <w:t xml:space="preserve"> </w:t>
      </w:r>
      <w:r w:rsidRPr="00C123C3">
        <w:rPr>
          <w:rStyle w:val="jrnl"/>
          <w:rFonts w:ascii="Arial" w:hAnsi="Arial" w:cs="Arial"/>
          <w:color w:val="000000" w:themeColor="text1"/>
        </w:rPr>
        <w:t>Environ Sci Pollut Res Int</w:t>
      </w:r>
      <w:r w:rsidR="003A7061" w:rsidRPr="00C123C3">
        <w:rPr>
          <w:rFonts w:ascii="Arial" w:hAnsi="Arial" w:cs="Arial"/>
          <w:color w:val="000000" w:themeColor="text1"/>
        </w:rPr>
        <w:t>.</w:t>
      </w:r>
      <w:r w:rsidR="003A7061" w:rsidRPr="00C123C3">
        <w:rPr>
          <w:rFonts w:ascii="Arial" w:hAnsi="Arial" w:cs="Arial"/>
          <w:color w:val="000000"/>
          <w:shd w:val="clear" w:color="auto" w:fill="FFFFFF"/>
        </w:rPr>
        <w:t xml:space="preserve"> </w:t>
      </w:r>
      <w:r w:rsidR="00B46161" w:rsidRPr="00C123C3">
        <w:rPr>
          <w:rFonts w:ascii="Arial" w:hAnsi="Arial" w:cs="Arial"/>
          <w:color w:val="000000"/>
          <w:shd w:val="clear" w:color="auto" w:fill="FFFFFF"/>
        </w:rPr>
        <w:t> 2019 May;26(15):15209-</w:t>
      </w:r>
      <w:r w:rsidR="003A7061" w:rsidRPr="00C123C3">
        <w:rPr>
          <w:rFonts w:ascii="Arial" w:hAnsi="Arial" w:cs="Arial"/>
          <w:color w:val="000000"/>
          <w:shd w:val="clear" w:color="auto" w:fill="FFFFFF"/>
        </w:rPr>
        <w:t>17.</w:t>
      </w:r>
    </w:p>
    <w:p w:rsidR="003A7061" w:rsidRPr="00C123C3" w:rsidRDefault="00E75E79"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 xml:space="preserve">Babukumar S, Vinothkumar V, Ramachandhiran D. </w:t>
      </w:r>
      <w:hyperlink r:id="rId10" w:history="1">
        <w:r w:rsidRPr="00C123C3">
          <w:rPr>
            <w:rStyle w:val="Hyperlink"/>
            <w:rFonts w:ascii="Arial" w:hAnsi="Arial" w:cs="Arial"/>
            <w:color w:val="000000" w:themeColor="text1"/>
            <w:u w:val="none"/>
          </w:rPr>
          <w:t>Modulating effect of hesperetin on the molecular expression pattern of apoptotic and cell proliferative markers in 7,12-dimethylbenz(a)anthracene-induced oral carcinogenesis.</w:t>
        </w:r>
      </w:hyperlink>
      <w:r w:rsidRPr="00C123C3">
        <w:rPr>
          <w:rFonts w:ascii="Arial" w:hAnsi="Arial" w:cs="Arial"/>
          <w:color w:val="000000" w:themeColor="text1"/>
        </w:rPr>
        <w:t xml:space="preserve"> </w:t>
      </w:r>
      <w:r w:rsidRPr="00C123C3">
        <w:rPr>
          <w:rStyle w:val="jrnl"/>
          <w:rFonts w:ascii="Arial" w:hAnsi="Arial" w:cs="Arial"/>
          <w:color w:val="000000" w:themeColor="text1"/>
        </w:rPr>
        <w:t>Arch Physiol Biochem</w:t>
      </w:r>
      <w:r w:rsidR="003A7061" w:rsidRPr="00C123C3">
        <w:rPr>
          <w:rStyle w:val="jrnl"/>
          <w:rFonts w:ascii="Arial" w:hAnsi="Arial" w:cs="Arial"/>
          <w:color w:val="000000" w:themeColor="text1"/>
        </w:rPr>
        <w:t>.</w:t>
      </w:r>
      <w:r w:rsidR="006C3B56" w:rsidRPr="00C123C3">
        <w:rPr>
          <w:rFonts w:ascii="Arial" w:hAnsi="Arial" w:cs="Arial"/>
          <w:color w:val="000000" w:themeColor="text1"/>
        </w:rPr>
        <w:t xml:space="preserve"> </w:t>
      </w:r>
      <w:r w:rsidR="003A7061" w:rsidRPr="00C123C3">
        <w:rPr>
          <w:rFonts w:ascii="Arial" w:hAnsi="Arial" w:cs="Arial"/>
          <w:color w:val="000000"/>
          <w:shd w:val="clear" w:color="auto" w:fill="FFFFFF"/>
        </w:rPr>
        <w:t>2019 Jan 20:1-10.</w:t>
      </w:r>
    </w:p>
    <w:p w:rsidR="003A70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rPr>
      </w:pPr>
      <w:r w:rsidRPr="00C123C3">
        <w:rPr>
          <w:rFonts w:ascii="Arial" w:hAnsi="Arial" w:cs="Arial"/>
          <w:color w:val="000000" w:themeColor="text1"/>
        </w:rPr>
        <w:t xml:space="preserve">Gopalakrishnan T, Ganapathy S, Veeran V, Namasivayam N. </w:t>
      </w:r>
      <w:hyperlink r:id="rId11" w:history="1">
        <w:r w:rsidRPr="00C123C3">
          <w:rPr>
            <w:rStyle w:val="Hyperlink"/>
            <w:rFonts w:ascii="Arial" w:hAnsi="Arial" w:cs="Arial"/>
            <w:color w:val="000000" w:themeColor="text1"/>
            <w:u w:val="none"/>
          </w:rPr>
          <w:t>Preventive effect of D-carvone during DMBA induced mouse skin tumorigenesis by modulating xenobiotic metabolism and induction of apoptotic events.</w:t>
        </w:r>
      </w:hyperlink>
      <w:r w:rsidRPr="00C123C3">
        <w:rPr>
          <w:rStyle w:val="jrnl"/>
          <w:rFonts w:ascii="Arial" w:hAnsi="Arial" w:cs="Arial"/>
          <w:color w:val="000000" w:themeColor="text1"/>
        </w:rPr>
        <w:t xml:space="preserve"> Biomed Pharmacother</w:t>
      </w:r>
      <w:r w:rsidR="003A7061" w:rsidRPr="00C123C3">
        <w:rPr>
          <w:rFonts w:ascii="Arial" w:hAnsi="Arial" w:cs="Arial"/>
          <w:color w:val="000000" w:themeColor="text1"/>
        </w:rPr>
        <w:t xml:space="preserve">. </w:t>
      </w:r>
      <w:r w:rsidR="00B46161" w:rsidRPr="00C123C3">
        <w:rPr>
          <w:rFonts w:ascii="Arial" w:hAnsi="Arial" w:cs="Arial"/>
          <w:color w:val="000000"/>
          <w:shd w:val="clear" w:color="auto" w:fill="FFFFFF"/>
        </w:rPr>
        <w:t>2019 Mar;111:178-</w:t>
      </w:r>
      <w:r w:rsidR="003A7061" w:rsidRPr="00C123C3">
        <w:rPr>
          <w:rFonts w:ascii="Arial" w:hAnsi="Arial" w:cs="Arial"/>
          <w:color w:val="000000"/>
          <w:shd w:val="clear" w:color="auto" w:fill="FFFFFF"/>
        </w:rPr>
        <w:t>87.</w:t>
      </w:r>
    </w:p>
    <w:p w:rsidR="0042607E"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lastRenderedPageBreak/>
        <w:t xml:space="preserve">Moayedi Y, Greenberg SA, Jenkins BA, Marshall KL, Dimitrov LV, Nelson AM, </w:t>
      </w:r>
      <w:r w:rsidR="003A7061" w:rsidRPr="00C123C3">
        <w:rPr>
          <w:rFonts w:ascii="Arial" w:hAnsi="Arial" w:cs="Arial"/>
          <w:color w:val="000000" w:themeColor="text1"/>
        </w:rPr>
        <w:t>et al</w:t>
      </w:r>
      <w:r w:rsidRPr="00C123C3">
        <w:rPr>
          <w:rFonts w:ascii="Arial" w:hAnsi="Arial" w:cs="Arial"/>
          <w:color w:val="000000" w:themeColor="text1"/>
        </w:rPr>
        <w:t xml:space="preserve">. </w:t>
      </w:r>
      <w:hyperlink r:id="rId12" w:history="1">
        <w:r w:rsidRPr="00C123C3">
          <w:rPr>
            <w:rStyle w:val="Hyperlink"/>
            <w:rFonts w:ascii="Arial" w:hAnsi="Arial" w:cs="Arial"/>
            <w:color w:val="000000" w:themeColor="text1"/>
            <w:u w:val="none"/>
          </w:rPr>
          <w:t>Camphor white oil induces tumor regression through cytotoxic T cell-dependent mechanisms.</w:t>
        </w:r>
      </w:hyperlink>
      <w:r w:rsidRPr="00C123C3">
        <w:rPr>
          <w:rFonts w:ascii="Arial" w:hAnsi="Arial" w:cs="Arial"/>
          <w:color w:val="000000" w:themeColor="text1"/>
        </w:rPr>
        <w:t xml:space="preserve"> </w:t>
      </w:r>
      <w:r w:rsidRPr="00C123C3">
        <w:rPr>
          <w:rStyle w:val="jrnl"/>
          <w:rFonts w:ascii="Arial" w:hAnsi="Arial" w:cs="Arial"/>
          <w:color w:val="000000" w:themeColor="text1"/>
        </w:rPr>
        <w:t>Mol Carcinog</w:t>
      </w:r>
      <w:r w:rsidR="0042607E" w:rsidRPr="00C123C3">
        <w:rPr>
          <w:rFonts w:ascii="Arial" w:hAnsi="Arial" w:cs="Arial"/>
          <w:color w:val="000000" w:themeColor="text1"/>
        </w:rPr>
        <w:t>.</w:t>
      </w:r>
      <w:r w:rsidRPr="00C123C3">
        <w:rPr>
          <w:rFonts w:ascii="Arial" w:hAnsi="Arial" w:cs="Arial"/>
          <w:color w:val="000000" w:themeColor="text1"/>
        </w:rPr>
        <w:t xml:space="preserve"> </w:t>
      </w:r>
      <w:r w:rsidR="00B46161" w:rsidRPr="00C123C3">
        <w:rPr>
          <w:rFonts w:ascii="Arial" w:hAnsi="Arial" w:cs="Arial"/>
          <w:color w:val="000000"/>
          <w:shd w:val="clear" w:color="auto" w:fill="FFFFFF"/>
        </w:rPr>
        <w:t>2019 May;58(5):722-</w:t>
      </w:r>
      <w:r w:rsidR="0042607E" w:rsidRPr="00C123C3">
        <w:rPr>
          <w:rFonts w:ascii="Arial" w:hAnsi="Arial" w:cs="Arial"/>
          <w:color w:val="000000"/>
          <w:shd w:val="clear" w:color="auto" w:fill="FFFFFF"/>
        </w:rPr>
        <w:t>34. </w:t>
      </w:r>
    </w:p>
    <w:p w:rsidR="0042607E"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Vigani B, Rossi S, Gentile M, Sandri G, Bonferoni MC, Cavalloro V, </w:t>
      </w:r>
      <w:r w:rsidR="0042607E" w:rsidRPr="00C123C3">
        <w:rPr>
          <w:rFonts w:ascii="Arial" w:hAnsi="Arial" w:cs="Arial"/>
          <w:color w:val="000000" w:themeColor="text1"/>
        </w:rPr>
        <w:t>et al</w:t>
      </w:r>
      <w:r w:rsidRPr="00C123C3">
        <w:rPr>
          <w:rFonts w:ascii="Arial" w:hAnsi="Arial" w:cs="Arial"/>
          <w:color w:val="000000" w:themeColor="text1"/>
        </w:rPr>
        <w:t xml:space="preserve">. </w:t>
      </w:r>
      <w:hyperlink r:id="rId13" w:history="1">
        <w:r w:rsidR="0042607E" w:rsidRPr="00C123C3">
          <w:rPr>
            <w:rStyle w:val="Hyperlink"/>
            <w:rFonts w:ascii="Arial" w:hAnsi="Arial" w:cs="Arial"/>
            <w:color w:val="000000" w:themeColor="text1"/>
            <w:u w:val="none"/>
          </w:rPr>
          <w:t>Development of a mucoadhesive and an in situ gelling formulation b</w:t>
        </w:r>
        <w:r w:rsidRPr="00C123C3">
          <w:rPr>
            <w:rStyle w:val="Hyperlink"/>
            <w:rFonts w:ascii="Arial" w:hAnsi="Arial" w:cs="Arial"/>
            <w:color w:val="000000" w:themeColor="text1"/>
            <w:u w:val="none"/>
          </w:rPr>
          <w:t>ased on κ-</w:t>
        </w:r>
        <w:r w:rsidR="0042607E" w:rsidRPr="00C123C3">
          <w:rPr>
            <w:rStyle w:val="Hyperlink"/>
            <w:rFonts w:ascii="Arial" w:hAnsi="Arial" w:cs="Arial"/>
            <w:color w:val="000000" w:themeColor="text1"/>
            <w:u w:val="none"/>
          </w:rPr>
          <w:t>carrageenan for application on oral mucosa and esophagus w</w:t>
        </w:r>
        <w:r w:rsidRPr="00C123C3">
          <w:rPr>
            <w:rStyle w:val="Hyperlink"/>
            <w:rFonts w:ascii="Arial" w:hAnsi="Arial" w:cs="Arial"/>
            <w:color w:val="000000" w:themeColor="text1"/>
            <w:u w:val="none"/>
          </w:rPr>
          <w:t xml:space="preserve">alls. II. Loading of a </w:t>
        </w:r>
        <w:r w:rsidR="0042607E" w:rsidRPr="00C123C3">
          <w:rPr>
            <w:rStyle w:val="Hyperlink"/>
            <w:rFonts w:ascii="Arial" w:hAnsi="Arial" w:cs="Arial"/>
            <w:color w:val="000000" w:themeColor="text1"/>
            <w:u w:val="none"/>
          </w:rPr>
          <w:t>bioactive hydroalcoholic e</w:t>
        </w:r>
        <w:r w:rsidRPr="00C123C3">
          <w:rPr>
            <w:rStyle w:val="Hyperlink"/>
            <w:rFonts w:ascii="Arial" w:hAnsi="Arial" w:cs="Arial"/>
            <w:color w:val="000000" w:themeColor="text1"/>
            <w:u w:val="none"/>
          </w:rPr>
          <w:t>xtract.</w:t>
        </w:r>
      </w:hyperlink>
      <w:r w:rsidRPr="00C123C3">
        <w:rPr>
          <w:rFonts w:ascii="Arial" w:hAnsi="Arial" w:cs="Arial"/>
          <w:color w:val="000000" w:themeColor="text1"/>
        </w:rPr>
        <w:t xml:space="preserve"> </w:t>
      </w:r>
      <w:r w:rsidRPr="00C123C3">
        <w:rPr>
          <w:rStyle w:val="jrnl"/>
          <w:rFonts w:ascii="Arial" w:hAnsi="Arial" w:cs="Arial"/>
          <w:color w:val="000000" w:themeColor="text1"/>
        </w:rPr>
        <w:t>Mar Drugs</w:t>
      </w:r>
      <w:r w:rsidR="0042607E" w:rsidRPr="00C123C3">
        <w:rPr>
          <w:rFonts w:ascii="Arial" w:hAnsi="Arial" w:cs="Arial"/>
          <w:color w:val="000000" w:themeColor="text1"/>
        </w:rPr>
        <w:t xml:space="preserve">. </w:t>
      </w:r>
      <w:r w:rsidR="0042607E" w:rsidRPr="00C123C3">
        <w:rPr>
          <w:rFonts w:ascii="Arial" w:hAnsi="Arial" w:cs="Arial"/>
          <w:color w:val="000000"/>
          <w:shd w:val="clear" w:color="auto" w:fill="FFFFFF"/>
        </w:rPr>
        <w:t>2019 Mar 5;17(3). pii: E153. </w:t>
      </w:r>
    </w:p>
    <w:p w:rsidR="0042607E"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Sokolova EV, Menzorova NI, Davydova VN, Kuz'mich AS, Kravchenko AO, Mishchenko NP, </w:t>
      </w:r>
      <w:r w:rsidR="0042607E" w:rsidRPr="00C123C3">
        <w:rPr>
          <w:rFonts w:ascii="Arial" w:hAnsi="Arial" w:cs="Arial"/>
          <w:color w:val="000000" w:themeColor="text1"/>
        </w:rPr>
        <w:t xml:space="preserve">et al. </w:t>
      </w:r>
      <w:hyperlink r:id="rId14" w:history="1">
        <w:r w:rsidRPr="00C123C3">
          <w:rPr>
            <w:rStyle w:val="Hyperlink"/>
            <w:rFonts w:ascii="Arial" w:hAnsi="Arial" w:cs="Arial"/>
            <w:color w:val="000000" w:themeColor="text1"/>
            <w:u w:val="none"/>
          </w:rPr>
          <w:t>Effects of carrageenans on biological properties of echinochrome.</w:t>
        </w:r>
      </w:hyperlink>
      <w:r w:rsidRPr="00C123C3">
        <w:rPr>
          <w:rFonts w:ascii="Arial" w:hAnsi="Arial" w:cs="Arial"/>
          <w:color w:val="000000" w:themeColor="text1"/>
        </w:rPr>
        <w:t xml:space="preserve"> </w:t>
      </w:r>
      <w:r w:rsidRPr="00C123C3">
        <w:rPr>
          <w:rStyle w:val="jrnl"/>
          <w:rFonts w:ascii="Arial" w:hAnsi="Arial" w:cs="Arial"/>
          <w:color w:val="000000" w:themeColor="text1"/>
        </w:rPr>
        <w:t>Mar Drugs</w:t>
      </w:r>
      <w:r w:rsidRPr="00C123C3">
        <w:rPr>
          <w:rFonts w:ascii="Arial" w:hAnsi="Arial" w:cs="Arial"/>
          <w:color w:val="000000" w:themeColor="text1"/>
        </w:rPr>
        <w:t xml:space="preserve">. </w:t>
      </w:r>
      <w:r w:rsidR="0042607E" w:rsidRPr="00C123C3">
        <w:rPr>
          <w:rFonts w:ascii="Arial" w:hAnsi="Arial" w:cs="Arial"/>
          <w:color w:val="000000"/>
          <w:shd w:val="clear" w:color="auto" w:fill="FFFFFF"/>
        </w:rPr>
        <w:t>2018 Nov 1;16(11). pii: E419. </w:t>
      </w:r>
    </w:p>
    <w:p w:rsidR="0042607E" w:rsidRPr="00C123C3" w:rsidRDefault="006C3B56"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Liu Y, Qin Y, Bai R, Zhang X, Yuan L, Liu J. </w:t>
      </w:r>
      <w:hyperlink r:id="rId15" w:history="1">
        <w:r w:rsidRPr="00C123C3">
          <w:rPr>
            <w:rStyle w:val="Hyperlink"/>
            <w:rFonts w:ascii="Arial" w:hAnsi="Arial" w:cs="Arial"/>
            <w:color w:val="000000" w:themeColor="text1"/>
            <w:u w:val="none"/>
          </w:rPr>
          <w:t>Preparation of pH-sensitive and antioxidant packaging films based on κ-carrageenan and mulberry polyphenolic extract.</w:t>
        </w:r>
      </w:hyperlink>
      <w:r w:rsidRPr="00C123C3">
        <w:rPr>
          <w:rFonts w:ascii="Arial" w:hAnsi="Arial" w:cs="Arial"/>
          <w:color w:val="000000" w:themeColor="text1"/>
        </w:rPr>
        <w:t xml:space="preserve"> </w:t>
      </w:r>
      <w:r w:rsidRPr="00C123C3">
        <w:rPr>
          <w:rStyle w:val="jrnl"/>
          <w:rFonts w:ascii="Arial" w:hAnsi="Arial" w:cs="Arial"/>
          <w:color w:val="000000" w:themeColor="text1"/>
        </w:rPr>
        <w:t>Int J Biol Macromol</w:t>
      </w:r>
      <w:r w:rsidR="0042607E" w:rsidRPr="00C123C3">
        <w:rPr>
          <w:rFonts w:ascii="Arial" w:hAnsi="Arial" w:cs="Arial"/>
          <w:color w:val="000000" w:themeColor="text1"/>
        </w:rPr>
        <w:t xml:space="preserve">. </w:t>
      </w:r>
      <w:r w:rsidR="0042607E" w:rsidRPr="00C123C3">
        <w:rPr>
          <w:rFonts w:ascii="Arial" w:hAnsi="Arial" w:cs="Arial"/>
          <w:color w:val="000000"/>
          <w:shd w:val="clear" w:color="auto" w:fill="FFFFFF"/>
        </w:rPr>
        <w:t>2019 Aug 1;134:993-1001.</w:t>
      </w:r>
    </w:p>
    <w:p w:rsidR="0042607E"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Souza RB, Frota AF, Silva J, Alves C, Neugebauer AZ, Pinteus S, </w:t>
      </w:r>
      <w:r w:rsidR="0042607E" w:rsidRPr="00C123C3">
        <w:rPr>
          <w:rFonts w:ascii="Arial" w:hAnsi="Arial" w:cs="Arial"/>
          <w:color w:val="000000" w:themeColor="text1"/>
        </w:rPr>
        <w:t>et al</w:t>
      </w:r>
      <w:r w:rsidRPr="00C123C3">
        <w:rPr>
          <w:rFonts w:ascii="Arial" w:hAnsi="Arial" w:cs="Arial"/>
          <w:color w:val="000000" w:themeColor="text1"/>
        </w:rPr>
        <w:t xml:space="preserve">. </w:t>
      </w:r>
      <w:hyperlink r:id="rId16" w:history="1">
        <w:r w:rsidRPr="00C123C3">
          <w:rPr>
            <w:rStyle w:val="Hyperlink"/>
            <w:rFonts w:ascii="Arial" w:hAnsi="Arial" w:cs="Arial"/>
            <w:color w:val="000000" w:themeColor="text1"/>
            <w:u w:val="none"/>
          </w:rPr>
          <w:t>In vitro activities of kappa-carrageenan isolated from red marine alga Hypnea musciformis: Antimicrobial, anticancer and neuroprotective potential.</w:t>
        </w:r>
      </w:hyperlink>
      <w:r w:rsidRPr="00C123C3">
        <w:rPr>
          <w:rFonts w:ascii="Arial" w:hAnsi="Arial" w:cs="Arial"/>
          <w:color w:val="000000" w:themeColor="text1"/>
        </w:rPr>
        <w:t xml:space="preserve"> </w:t>
      </w:r>
      <w:r w:rsidRPr="00C123C3">
        <w:rPr>
          <w:rStyle w:val="jrnl"/>
          <w:rFonts w:ascii="Arial" w:hAnsi="Arial" w:cs="Arial"/>
          <w:color w:val="000000" w:themeColor="text1"/>
        </w:rPr>
        <w:t>Int J Biol Macromol</w:t>
      </w:r>
      <w:r w:rsidR="0042607E" w:rsidRPr="00C123C3">
        <w:rPr>
          <w:rFonts w:ascii="Arial" w:hAnsi="Arial" w:cs="Arial"/>
          <w:color w:val="000000" w:themeColor="text1"/>
        </w:rPr>
        <w:t>.</w:t>
      </w:r>
      <w:r w:rsidR="0042607E" w:rsidRPr="00C123C3">
        <w:rPr>
          <w:rFonts w:ascii="Arial" w:hAnsi="Arial" w:cs="Arial"/>
          <w:color w:val="000000"/>
          <w:shd w:val="clear" w:color="auto" w:fill="FFFFFF"/>
        </w:rPr>
        <w:t xml:space="preserve"> </w:t>
      </w:r>
      <w:r w:rsidR="00B46161" w:rsidRPr="00C123C3">
        <w:rPr>
          <w:rFonts w:ascii="Arial" w:hAnsi="Arial" w:cs="Arial"/>
          <w:color w:val="000000"/>
          <w:shd w:val="clear" w:color="auto" w:fill="FFFFFF"/>
        </w:rPr>
        <w:t>2018 Jun;112:1248-</w:t>
      </w:r>
      <w:r w:rsidR="0042607E" w:rsidRPr="00C123C3">
        <w:rPr>
          <w:rFonts w:ascii="Arial" w:hAnsi="Arial" w:cs="Arial"/>
          <w:color w:val="000000"/>
          <w:shd w:val="clear" w:color="auto" w:fill="FFFFFF"/>
        </w:rPr>
        <w:t>56.</w:t>
      </w:r>
    </w:p>
    <w:p w:rsidR="00B46161" w:rsidRPr="00C123C3" w:rsidRDefault="006C3B56"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Calvo GH, Cosenza VA, Sáenz DA, Navarro DA, Stortz CA, Céspedes MA, </w:t>
      </w:r>
      <w:r w:rsidR="0042607E" w:rsidRPr="00C123C3">
        <w:rPr>
          <w:rFonts w:ascii="Arial" w:hAnsi="Arial" w:cs="Arial"/>
          <w:color w:val="000000" w:themeColor="text1"/>
        </w:rPr>
        <w:t>et al</w:t>
      </w:r>
      <w:r w:rsidRPr="00C123C3">
        <w:rPr>
          <w:rFonts w:ascii="Arial" w:hAnsi="Arial" w:cs="Arial"/>
          <w:color w:val="000000" w:themeColor="text1"/>
        </w:rPr>
        <w:t xml:space="preserve">. </w:t>
      </w:r>
      <w:hyperlink r:id="rId17" w:history="1">
        <w:r w:rsidRPr="00C123C3">
          <w:rPr>
            <w:rStyle w:val="Hyperlink"/>
            <w:rFonts w:ascii="Arial" w:hAnsi="Arial" w:cs="Arial"/>
            <w:color w:val="000000" w:themeColor="text1"/>
            <w:u w:val="none"/>
          </w:rPr>
          <w:t>Disaccharides obtained from carrageenans as potential antitumor agents.</w:t>
        </w:r>
      </w:hyperlink>
      <w:r w:rsidRPr="00C123C3">
        <w:rPr>
          <w:rFonts w:ascii="Arial" w:hAnsi="Arial" w:cs="Arial"/>
          <w:color w:val="000000" w:themeColor="text1"/>
        </w:rPr>
        <w:t xml:space="preserve"> </w:t>
      </w:r>
      <w:r w:rsidRPr="00C123C3">
        <w:rPr>
          <w:rStyle w:val="jrnl"/>
          <w:rFonts w:ascii="Arial" w:hAnsi="Arial" w:cs="Arial"/>
          <w:color w:val="000000" w:themeColor="text1"/>
        </w:rPr>
        <w:t>Sci Rep</w:t>
      </w:r>
      <w:r w:rsidR="0042607E" w:rsidRPr="00C123C3">
        <w:rPr>
          <w:rStyle w:val="jrnl"/>
          <w:rFonts w:ascii="Arial" w:hAnsi="Arial" w:cs="Arial"/>
          <w:color w:val="000000" w:themeColor="text1"/>
        </w:rPr>
        <w:t xml:space="preserve">. </w:t>
      </w:r>
      <w:r w:rsidR="0042607E" w:rsidRPr="00C123C3">
        <w:rPr>
          <w:rFonts w:ascii="Arial" w:hAnsi="Arial" w:cs="Arial"/>
          <w:color w:val="000000"/>
          <w:shd w:val="clear" w:color="auto" w:fill="FFFFFF"/>
        </w:rPr>
        <w:t>2019 Apr 30;9(1):6654.</w:t>
      </w:r>
    </w:p>
    <w:p w:rsidR="00B461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Tan KW, Sampson A, Osa-Andrews B, Iram SH. </w:t>
      </w:r>
      <w:hyperlink r:id="rId18" w:history="1">
        <w:r w:rsidRPr="00C123C3">
          <w:rPr>
            <w:rStyle w:val="Hyperlink"/>
            <w:rFonts w:ascii="Arial" w:hAnsi="Arial" w:cs="Arial"/>
            <w:color w:val="000000" w:themeColor="text1"/>
            <w:u w:val="none"/>
          </w:rPr>
          <w:t xml:space="preserve">Calcitriol and calcipotriol modulate transport activity of ABC transporters and exhibit </w:t>
        </w:r>
        <w:r w:rsidRPr="00C123C3">
          <w:rPr>
            <w:rStyle w:val="Hyperlink"/>
            <w:rFonts w:ascii="Arial" w:hAnsi="Arial" w:cs="Arial"/>
            <w:color w:val="000000" w:themeColor="text1"/>
            <w:u w:val="none"/>
          </w:rPr>
          <w:lastRenderedPageBreak/>
          <w:t>selective cytotoxicity in MRP1-overexpressing cells.</w:t>
        </w:r>
      </w:hyperlink>
      <w:r w:rsidRPr="00C123C3">
        <w:rPr>
          <w:rFonts w:ascii="Arial" w:hAnsi="Arial" w:cs="Arial"/>
          <w:color w:val="000000" w:themeColor="text1"/>
        </w:rPr>
        <w:t xml:space="preserve"> Drug Metab Dispos</w:t>
      </w:r>
      <w:r w:rsidR="00B46161" w:rsidRPr="00C123C3">
        <w:rPr>
          <w:rFonts w:ascii="Arial" w:hAnsi="Arial" w:cs="Arial"/>
          <w:color w:val="000000" w:themeColor="text1"/>
        </w:rPr>
        <w:t xml:space="preserve">. </w:t>
      </w:r>
      <w:r w:rsidR="00B46161" w:rsidRPr="00C123C3">
        <w:rPr>
          <w:rFonts w:ascii="Arial" w:hAnsi="Arial" w:cs="Arial"/>
          <w:color w:val="000000"/>
          <w:shd w:val="clear" w:color="auto" w:fill="FFFFFF"/>
        </w:rPr>
        <w:t>2018 Dec;46(12):1856-66.</w:t>
      </w:r>
    </w:p>
    <w:p w:rsidR="00B46161"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Razak S, Afsar T, Almajwal A, Alam I, Jahan S. </w:t>
      </w:r>
      <w:hyperlink r:id="rId19" w:history="1">
        <w:r w:rsidRPr="00C123C3">
          <w:rPr>
            <w:rStyle w:val="Hyperlink"/>
            <w:rFonts w:ascii="Arial" w:hAnsi="Arial" w:cs="Arial"/>
            <w:color w:val="000000" w:themeColor="text1"/>
            <w:u w:val="none"/>
          </w:rPr>
          <w:t>Growth inhibition and apoptosis in colorectal cancer cells induced by Vitamin D-Nanoemulsion (NVD): involvement of Wnt/β-catenin and other signal transduction pathways.</w:t>
        </w:r>
      </w:hyperlink>
      <w:r w:rsidRPr="00C123C3">
        <w:rPr>
          <w:rFonts w:ascii="Arial" w:hAnsi="Arial" w:cs="Arial"/>
          <w:color w:val="000000" w:themeColor="text1"/>
        </w:rPr>
        <w:t xml:space="preserve"> </w:t>
      </w:r>
      <w:r w:rsidRPr="00C123C3">
        <w:rPr>
          <w:rStyle w:val="jrnl"/>
          <w:rFonts w:ascii="Arial" w:hAnsi="Arial" w:cs="Arial"/>
          <w:color w:val="000000" w:themeColor="text1"/>
        </w:rPr>
        <w:t>Cell Biosci</w:t>
      </w:r>
      <w:r w:rsidR="00B46161" w:rsidRPr="00C123C3">
        <w:rPr>
          <w:rStyle w:val="jrnl"/>
          <w:rFonts w:ascii="Arial" w:hAnsi="Arial" w:cs="Arial"/>
          <w:color w:val="000000" w:themeColor="text1"/>
        </w:rPr>
        <w:t>.</w:t>
      </w:r>
      <w:r w:rsidR="00B46161" w:rsidRPr="00C123C3">
        <w:rPr>
          <w:rFonts w:ascii="Arial" w:hAnsi="Arial" w:cs="Arial"/>
          <w:color w:val="000000" w:themeColor="text1"/>
        </w:rPr>
        <w:t xml:space="preserve"> </w:t>
      </w:r>
      <w:r w:rsidR="00B46161" w:rsidRPr="00C123C3">
        <w:rPr>
          <w:rFonts w:ascii="Arial" w:hAnsi="Arial" w:cs="Arial"/>
          <w:color w:val="000000"/>
          <w:shd w:val="clear" w:color="auto" w:fill="FFFFFF"/>
        </w:rPr>
        <w:t>2019 Feb 1;9:15. </w:t>
      </w:r>
    </w:p>
    <w:p w:rsidR="00B46161" w:rsidRPr="00C123C3" w:rsidRDefault="006C3B56"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Grant WB, Moukayed M. </w:t>
      </w:r>
      <w:hyperlink r:id="rId20" w:history="1">
        <w:r w:rsidRPr="00C123C3">
          <w:rPr>
            <w:rStyle w:val="Hyperlink"/>
            <w:rFonts w:ascii="Arial" w:hAnsi="Arial" w:cs="Arial"/>
            <w:color w:val="000000" w:themeColor="text1"/>
            <w:u w:val="none"/>
          </w:rPr>
          <w:t>Vitamin D</w:t>
        </w:r>
        <w:r w:rsidRPr="00C123C3">
          <w:rPr>
            <w:rStyle w:val="Hyperlink"/>
            <w:rFonts w:ascii="Arial" w:hAnsi="Arial" w:cs="Arial"/>
            <w:color w:val="000000" w:themeColor="text1"/>
            <w:u w:val="none"/>
            <w:vertAlign w:val="subscript"/>
          </w:rPr>
          <w:t>3</w:t>
        </w:r>
        <w:r w:rsidRPr="00C123C3">
          <w:rPr>
            <w:rStyle w:val="Hyperlink"/>
            <w:rFonts w:ascii="Arial" w:hAnsi="Arial" w:cs="Arial"/>
            <w:color w:val="000000" w:themeColor="text1"/>
            <w:u w:val="none"/>
          </w:rPr>
          <w:t> from ultraviolet-B exposure or oral intake in relation to cancer incidence and mortality.</w:t>
        </w:r>
      </w:hyperlink>
      <w:r w:rsidRPr="00C123C3">
        <w:rPr>
          <w:rFonts w:ascii="Arial" w:hAnsi="Arial" w:cs="Arial"/>
          <w:color w:val="000000" w:themeColor="text1"/>
        </w:rPr>
        <w:t xml:space="preserve"> </w:t>
      </w:r>
      <w:r w:rsidRPr="00C123C3">
        <w:rPr>
          <w:rStyle w:val="jrnl"/>
          <w:rFonts w:ascii="Arial" w:hAnsi="Arial" w:cs="Arial"/>
          <w:color w:val="000000" w:themeColor="text1"/>
        </w:rPr>
        <w:t>Curr Nutr Rep</w:t>
      </w:r>
      <w:r w:rsidR="00B46161" w:rsidRPr="00C123C3">
        <w:rPr>
          <w:rFonts w:ascii="Arial" w:hAnsi="Arial" w:cs="Arial"/>
          <w:color w:val="000000" w:themeColor="text1"/>
        </w:rPr>
        <w:t>.</w:t>
      </w:r>
      <w:r w:rsidR="00B46161" w:rsidRPr="00C123C3">
        <w:rPr>
          <w:rFonts w:ascii="Arial" w:hAnsi="Arial" w:cs="Arial"/>
          <w:color w:val="000000"/>
          <w:shd w:val="clear" w:color="auto" w:fill="FFFFFF"/>
        </w:rPr>
        <w:t xml:space="preserve"> 2019 Sep;8(3):203-11.</w:t>
      </w:r>
    </w:p>
    <w:p w:rsidR="00B46161" w:rsidRPr="00C123C3" w:rsidRDefault="006C3B56"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G D, Nandan SRK, Kulkarni PG. </w:t>
      </w:r>
      <w:hyperlink r:id="rId21" w:history="1">
        <w:r w:rsidRPr="00C123C3">
          <w:rPr>
            <w:rStyle w:val="Hyperlink"/>
            <w:rFonts w:ascii="Arial" w:hAnsi="Arial" w:cs="Arial"/>
            <w:color w:val="auto"/>
            <w:u w:val="none"/>
          </w:rPr>
          <w:t>Salivary</w:t>
        </w:r>
        <w:r w:rsidR="00B46161" w:rsidRPr="00C123C3">
          <w:rPr>
            <w:rStyle w:val="Hyperlink"/>
            <w:rFonts w:ascii="Arial" w:hAnsi="Arial" w:cs="Arial"/>
            <w:color w:val="auto"/>
            <w:u w:val="none"/>
          </w:rPr>
          <w:t xml:space="preserve"> tumour necrosis f</w:t>
        </w:r>
        <w:r w:rsidR="0083345F" w:rsidRPr="00C123C3">
          <w:rPr>
            <w:rStyle w:val="Hyperlink"/>
            <w:rFonts w:ascii="Arial" w:hAnsi="Arial" w:cs="Arial"/>
            <w:color w:val="auto"/>
            <w:u w:val="none"/>
          </w:rPr>
          <w:t>actor-α as a biomarker in oral leukoplakia and oral s</w:t>
        </w:r>
        <w:r w:rsidRPr="00C123C3">
          <w:rPr>
            <w:rStyle w:val="Hyperlink"/>
            <w:rFonts w:ascii="Arial" w:hAnsi="Arial" w:cs="Arial"/>
            <w:color w:val="auto"/>
            <w:u w:val="none"/>
          </w:rPr>
          <w:t>qua</w:t>
        </w:r>
        <w:r w:rsidR="0083345F" w:rsidRPr="00C123C3">
          <w:rPr>
            <w:rStyle w:val="Hyperlink"/>
            <w:rFonts w:ascii="Arial" w:hAnsi="Arial" w:cs="Arial"/>
            <w:color w:val="auto"/>
            <w:u w:val="none"/>
          </w:rPr>
          <w:t>mous cell c</w:t>
        </w:r>
        <w:r w:rsidRPr="00C123C3">
          <w:rPr>
            <w:rStyle w:val="Hyperlink"/>
            <w:rFonts w:ascii="Arial" w:hAnsi="Arial" w:cs="Arial"/>
            <w:color w:val="auto"/>
            <w:u w:val="none"/>
          </w:rPr>
          <w:t>arcinoma.</w:t>
        </w:r>
      </w:hyperlink>
      <w:r w:rsidRPr="00C123C3">
        <w:rPr>
          <w:rFonts w:ascii="Arial" w:hAnsi="Arial" w:cs="Arial"/>
        </w:rPr>
        <w:t xml:space="preserve"> </w:t>
      </w:r>
      <w:r w:rsidRPr="00C123C3">
        <w:rPr>
          <w:rStyle w:val="jrnl"/>
          <w:rFonts w:ascii="Arial" w:hAnsi="Arial" w:cs="Arial"/>
        </w:rPr>
        <w:t>Asian Pac J Cancer Prev</w:t>
      </w:r>
      <w:r w:rsidR="00B46161" w:rsidRPr="00C123C3">
        <w:rPr>
          <w:rFonts w:ascii="Arial" w:hAnsi="Arial" w:cs="Arial"/>
        </w:rPr>
        <w:t>.</w:t>
      </w:r>
      <w:r w:rsidR="00B46161" w:rsidRPr="00C123C3">
        <w:rPr>
          <w:rFonts w:ascii="Arial" w:hAnsi="Arial" w:cs="Arial"/>
          <w:color w:val="000000"/>
          <w:shd w:val="clear" w:color="auto" w:fill="FFFFFF"/>
        </w:rPr>
        <w:t>2019 Jul 1;20(7):2087-93.</w:t>
      </w:r>
    </w:p>
    <w:p w:rsidR="00B46161" w:rsidRPr="00C123C3" w:rsidRDefault="00E75E79"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Böhrnsen F, Holzenburg J, Godek F, Kauffmann P, Moser N, Schliephake H. </w:t>
      </w:r>
      <w:hyperlink r:id="rId22" w:history="1">
        <w:r w:rsidRPr="00C123C3">
          <w:rPr>
            <w:rStyle w:val="Hyperlink"/>
            <w:rFonts w:ascii="Arial" w:hAnsi="Arial" w:cs="Arial"/>
            <w:color w:val="auto"/>
            <w:u w:val="none"/>
          </w:rPr>
          <w:t>Influence of tumour necrosis factor alpha on epithelial-mesenchymal transition of oral cancer cells in co-culture with mesenchymal stromal cells.</w:t>
        </w:r>
      </w:hyperlink>
      <w:r w:rsidRPr="00C123C3">
        <w:rPr>
          <w:rFonts w:ascii="Arial" w:hAnsi="Arial" w:cs="Arial"/>
        </w:rPr>
        <w:t xml:space="preserve"> </w:t>
      </w:r>
      <w:r w:rsidRPr="00C123C3">
        <w:rPr>
          <w:rStyle w:val="jrnl"/>
          <w:rFonts w:ascii="Arial" w:hAnsi="Arial" w:cs="Arial"/>
        </w:rPr>
        <w:t>Int J Oral Maxillofac Surg</w:t>
      </w:r>
      <w:r w:rsidR="006C3B56" w:rsidRPr="00C123C3">
        <w:rPr>
          <w:rFonts w:ascii="Arial" w:hAnsi="Arial" w:cs="Arial"/>
        </w:rPr>
        <w:t xml:space="preserve">. </w:t>
      </w:r>
      <w:r w:rsidR="00B46161" w:rsidRPr="00C123C3">
        <w:rPr>
          <w:rFonts w:ascii="Arial" w:hAnsi="Arial" w:cs="Arial"/>
          <w:color w:val="000000"/>
          <w:shd w:val="clear" w:color="auto" w:fill="FFFFFF"/>
        </w:rPr>
        <w:t>2019 Jul 22. pii: S0901-5027(19)31166-X. </w:t>
      </w:r>
    </w:p>
    <w:p w:rsidR="003E7CDA"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Schiegnitz E, Kämmerer PW, Schön H, Blatt S, Berres M, Sagheb K, </w:t>
      </w:r>
      <w:r w:rsidR="00B46161" w:rsidRPr="00C123C3">
        <w:rPr>
          <w:rFonts w:ascii="Arial" w:hAnsi="Arial" w:cs="Arial"/>
        </w:rPr>
        <w:t>et al</w:t>
      </w:r>
      <w:r w:rsidRPr="00C123C3">
        <w:rPr>
          <w:rFonts w:ascii="Arial" w:hAnsi="Arial" w:cs="Arial"/>
        </w:rPr>
        <w:t xml:space="preserve">. </w:t>
      </w:r>
      <w:hyperlink r:id="rId23" w:history="1">
        <w:r w:rsidRPr="00C123C3">
          <w:rPr>
            <w:rStyle w:val="Hyperlink"/>
            <w:rFonts w:ascii="Arial" w:hAnsi="Arial" w:cs="Arial"/>
            <w:color w:val="auto"/>
            <w:u w:val="none"/>
          </w:rPr>
          <w:t>Proinflammatory cytokines as serum biomarker in oral carcinoma-A prospective multi-biomarker approach.</w:t>
        </w:r>
      </w:hyperlink>
      <w:r w:rsidRPr="00C123C3">
        <w:rPr>
          <w:rFonts w:ascii="Arial" w:hAnsi="Arial" w:cs="Arial"/>
        </w:rPr>
        <w:t xml:space="preserve"> </w:t>
      </w:r>
      <w:r w:rsidRPr="00C123C3">
        <w:rPr>
          <w:rStyle w:val="jrnl"/>
          <w:rFonts w:ascii="Arial" w:hAnsi="Arial" w:cs="Arial"/>
        </w:rPr>
        <w:t>J Oral Pathol Med</w:t>
      </w:r>
      <w:r w:rsidR="00B46161" w:rsidRPr="00C123C3">
        <w:rPr>
          <w:rFonts w:ascii="Arial" w:hAnsi="Arial" w:cs="Arial"/>
        </w:rPr>
        <w:t>.</w:t>
      </w:r>
      <w:r w:rsidR="00B46161" w:rsidRPr="00C123C3">
        <w:rPr>
          <w:rFonts w:ascii="Arial" w:hAnsi="Arial" w:cs="Arial"/>
          <w:color w:val="000000"/>
          <w:shd w:val="clear" w:color="auto" w:fill="FFFFFF"/>
        </w:rPr>
        <w:t xml:space="preserve">  2018 </w:t>
      </w:r>
      <w:r w:rsidR="003E7CDA" w:rsidRPr="00C123C3">
        <w:rPr>
          <w:rFonts w:ascii="Arial" w:hAnsi="Arial" w:cs="Arial"/>
          <w:color w:val="000000"/>
          <w:shd w:val="clear" w:color="auto" w:fill="FFFFFF"/>
        </w:rPr>
        <w:t>Mar;47(3):268-</w:t>
      </w:r>
      <w:r w:rsidR="00B46161" w:rsidRPr="00C123C3">
        <w:rPr>
          <w:rFonts w:ascii="Arial" w:hAnsi="Arial" w:cs="Arial"/>
          <w:color w:val="000000"/>
          <w:shd w:val="clear" w:color="auto" w:fill="FFFFFF"/>
        </w:rPr>
        <w:t>74</w:t>
      </w:r>
      <w:r w:rsidR="003E7CDA" w:rsidRPr="00C123C3">
        <w:rPr>
          <w:rFonts w:ascii="Arial" w:hAnsi="Arial" w:cs="Arial"/>
          <w:color w:val="000000"/>
          <w:shd w:val="clear" w:color="auto" w:fill="FFFFFF"/>
        </w:rPr>
        <w:t>.</w:t>
      </w:r>
    </w:p>
    <w:p w:rsidR="003E7CDA"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 Sur B, Kang S, Kim M, Oh S. </w:t>
      </w:r>
      <w:hyperlink r:id="rId24" w:history="1">
        <w:r w:rsidR="0083345F" w:rsidRPr="00C123C3">
          <w:rPr>
            <w:rStyle w:val="Hyperlink"/>
            <w:rFonts w:ascii="Arial" w:hAnsi="Arial" w:cs="Arial"/>
            <w:color w:val="auto"/>
            <w:u w:val="none"/>
          </w:rPr>
          <w:t xml:space="preserve">Inhibition of carrageenan/kaolin-induced arthritis in rats and of inflammatory cytokine expressions in human IL-1β-stimulated fibroblast-like synoviocytes by a </w:t>
        </w:r>
        <w:r w:rsidR="0083345F" w:rsidRPr="00C123C3">
          <w:rPr>
            <w:rStyle w:val="Hyperlink"/>
            <w:rFonts w:ascii="Arial" w:hAnsi="Arial" w:cs="Arial"/>
            <w:color w:val="auto"/>
            <w:u w:val="none"/>
          </w:rPr>
          <w:lastRenderedPageBreak/>
          <w:t>b</w:t>
        </w:r>
        <w:r w:rsidRPr="00C123C3">
          <w:rPr>
            <w:rStyle w:val="Hyperlink"/>
            <w:rFonts w:ascii="Arial" w:hAnsi="Arial" w:cs="Arial"/>
            <w:color w:val="auto"/>
            <w:u w:val="none"/>
          </w:rPr>
          <w:t xml:space="preserve">enzylideneacetophenone </w:t>
        </w:r>
        <w:r w:rsidR="0083345F" w:rsidRPr="00C123C3">
          <w:rPr>
            <w:rStyle w:val="Hyperlink"/>
            <w:rFonts w:ascii="Arial" w:hAnsi="Arial" w:cs="Arial"/>
            <w:color w:val="auto"/>
            <w:u w:val="none"/>
          </w:rPr>
          <w:t>d</w:t>
        </w:r>
        <w:r w:rsidRPr="00C123C3">
          <w:rPr>
            <w:rStyle w:val="Hyperlink"/>
            <w:rFonts w:ascii="Arial" w:hAnsi="Arial" w:cs="Arial"/>
            <w:color w:val="auto"/>
            <w:u w:val="none"/>
          </w:rPr>
          <w:t>erivative.</w:t>
        </w:r>
      </w:hyperlink>
      <w:r w:rsidRPr="00C123C3">
        <w:rPr>
          <w:rFonts w:ascii="Arial" w:hAnsi="Arial" w:cs="Arial"/>
        </w:rPr>
        <w:t xml:space="preserve"> </w:t>
      </w:r>
      <w:r w:rsidRPr="00C123C3">
        <w:rPr>
          <w:rStyle w:val="jrnl"/>
          <w:rFonts w:ascii="Arial" w:hAnsi="Arial" w:cs="Arial"/>
        </w:rPr>
        <w:t>Inflammation</w:t>
      </w:r>
      <w:r w:rsidR="003E7CDA" w:rsidRPr="00C123C3">
        <w:rPr>
          <w:rStyle w:val="jrnl"/>
          <w:rFonts w:ascii="Arial" w:hAnsi="Arial" w:cs="Arial"/>
        </w:rPr>
        <w:t xml:space="preserve">. </w:t>
      </w:r>
      <w:r w:rsidR="003E7CDA" w:rsidRPr="00C123C3">
        <w:rPr>
          <w:rFonts w:ascii="Arial" w:hAnsi="Arial" w:cs="Arial"/>
          <w:color w:val="000000"/>
          <w:shd w:val="clear" w:color="auto" w:fill="FFFFFF"/>
        </w:rPr>
        <w:t>2019 Jun;42(3):928-936</w:t>
      </w:r>
      <w:r w:rsidRPr="00C123C3">
        <w:rPr>
          <w:rFonts w:ascii="Arial" w:hAnsi="Arial" w:cs="Arial"/>
        </w:rPr>
        <w:t>.</w:t>
      </w:r>
      <w:r w:rsidRPr="00C123C3">
        <w:rPr>
          <w:rFonts w:ascii="Arial" w:hAnsi="Arial" w:cs="Arial"/>
          <w:color w:val="000000" w:themeColor="text1"/>
        </w:rPr>
        <w:t> </w:t>
      </w:r>
    </w:p>
    <w:p w:rsidR="004544B5" w:rsidRPr="00C123C3" w:rsidRDefault="00327242"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Wang Q, Zhou X, Jiang J, Zhang P, Xia S, Ding Y, </w:t>
      </w:r>
      <w:r w:rsidR="003E7CDA" w:rsidRPr="00C123C3">
        <w:rPr>
          <w:rFonts w:ascii="Arial" w:hAnsi="Arial" w:cs="Arial"/>
        </w:rPr>
        <w:t>et al</w:t>
      </w:r>
      <w:r w:rsidRPr="00C123C3">
        <w:rPr>
          <w:rFonts w:ascii="Arial" w:hAnsi="Arial" w:cs="Arial"/>
        </w:rPr>
        <w:t xml:space="preserve">. </w:t>
      </w:r>
      <w:hyperlink r:id="rId25" w:history="1">
        <w:r w:rsidRPr="00C123C3">
          <w:rPr>
            <w:rStyle w:val="Hyperlink"/>
            <w:rFonts w:ascii="Arial" w:hAnsi="Arial" w:cs="Arial"/>
            <w:color w:val="auto"/>
            <w:u w:val="none"/>
          </w:rPr>
          <w:t>Relationship between serum 25-hydroxyvitamin D</w:t>
        </w:r>
        <w:r w:rsidRPr="00C123C3">
          <w:rPr>
            <w:rStyle w:val="Hyperlink"/>
            <w:rFonts w:ascii="Arial" w:hAnsi="Arial" w:cs="Arial"/>
            <w:color w:val="auto"/>
            <w:u w:val="none"/>
            <w:vertAlign w:val="subscript"/>
          </w:rPr>
          <w:t>3</w:t>
        </w:r>
        <w:r w:rsidRPr="00C123C3">
          <w:rPr>
            <w:rStyle w:val="Hyperlink"/>
            <w:rFonts w:ascii="Arial" w:hAnsi="Arial" w:cs="Arial"/>
            <w:color w:val="auto"/>
            <w:u w:val="none"/>
          </w:rPr>
          <w:t> levels and severity of chronic periodontitis in type 2 diabetic patients: A cross-sectional study.</w:t>
        </w:r>
      </w:hyperlink>
      <w:r w:rsidRPr="00C123C3">
        <w:rPr>
          <w:rFonts w:ascii="Arial" w:hAnsi="Arial" w:cs="Arial"/>
        </w:rPr>
        <w:t xml:space="preserve"> </w:t>
      </w:r>
      <w:r w:rsidRPr="00C123C3">
        <w:rPr>
          <w:rStyle w:val="jrnl"/>
          <w:rFonts w:ascii="Arial" w:hAnsi="Arial" w:cs="Arial"/>
        </w:rPr>
        <w:t>J Periodontal Res</w:t>
      </w:r>
      <w:r w:rsidR="003E7CDA" w:rsidRPr="00C123C3">
        <w:rPr>
          <w:rStyle w:val="jrnl"/>
          <w:rFonts w:ascii="Arial" w:hAnsi="Arial" w:cs="Arial"/>
        </w:rPr>
        <w:t>.</w:t>
      </w:r>
      <w:r w:rsidR="003E7CDA" w:rsidRPr="00C123C3">
        <w:rPr>
          <w:rFonts w:ascii="Arial" w:hAnsi="Arial" w:cs="Arial"/>
          <w:color w:val="000000"/>
          <w:shd w:val="clear" w:color="auto" w:fill="FFFFFF"/>
        </w:rPr>
        <w:t xml:space="preserve">  2019 Jun 19. doi: 10.1111/jre.12669</w:t>
      </w:r>
      <w:r w:rsidRPr="00C123C3">
        <w:rPr>
          <w:rFonts w:ascii="Arial" w:hAnsi="Arial" w:cs="Arial"/>
        </w:rPr>
        <w:t>.</w:t>
      </w:r>
    </w:p>
    <w:p w:rsidR="004544B5" w:rsidRPr="00C123C3" w:rsidRDefault="004432F8"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hyperlink r:id="rId26" w:history="1">
        <w:r w:rsidR="006142BD" w:rsidRPr="00C123C3">
          <w:rPr>
            <w:rStyle w:val="Hyperlink"/>
            <w:rFonts w:ascii="Arial" w:hAnsi="Arial" w:cs="Arial"/>
            <w:color w:val="auto"/>
            <w:u w:val="none"/>
          </w:rPr>
          <w:t>Martínez-Reza I</w:t>
        </w:r>
      </w:hyperlink>
      <w:r w:rsidR="006142BD" w:rsidRPr="00C123C3">
        <w:rPr>
          <w:rFonts w:ascii="Arial" w:hAnsi="Arial" w:cs="Arial"/>
        </w:rPr>
        <w:t>, </w:t>
      </w:r>
      <w:hyperlink r:id="rId27" w:history="1">
        <w:r w:rsidR="006142BD" w:rsidRPr="00C123C3">
          <w:rPr>
            <w:rStyle w:val="Hyperlink"/>
            <w:rFonts w:ascii="Arial" w:hAnsi="Arial" w:cs="Arial"/>
            <w:color w:val="auto"/>
            <w:u w:val="none"/>
          </w:rPr>
          <w:t>Díaz L</w:t>
        </w:r>
      </w:hyperlink>
      <w:r w:rsidR="006142BD" w:rsidRPr="00C123C3">
        <w:rPr>
          <w:rFonts w:ascii="Arial" w:hAnsi="Arial" w:cs="Arial"/>
        </w:rPr>
        <w:t>, </w:t>
      </w:r>
      <w:hyperlink r:id="rId28" w:history="1">
        <w:r w:rsidR="006142BD" w:rsidRPr="00C123C3">
          <w:rPr>
            <w:rStyle w:val="Hyperlink"/>
            <w:rFonts w:ascii="Arial" w:hAnsi="Arial" w:cs="Arial"/>
            <w:color w:val="auto"/>
            <w:u w:val="none"/>
          </w:rPr>
          <w:t>Barrera D</w:t>
        </w:r>
      </w:hyperlink>
      <w:r w:rsidR="006142BD" w:rsidRPr="00C123C3">
        <w:rPr>
          <w:rFonts w:ascii="Arial" w:hAnsi="Arial" w:cs="Arial"/>
        </w:rPr>
        <w:t>, </w:t>
      </w:r>
      <w:hyperlink r:id="rId29" w:history="1">
        <w:r w:rsidR="006142BD" w:rsidRPr="00C123C3">
          <w:rPr>
            <w:rStyle w:val="Hyperlink"/>
            <w:rFonts w:ascii="Arial" w:hAnsi="Arial" w:cs="Arial"/>
            <w:color w:val="auto"/>
            <w:u w:val="none"/>
          </w:rPr>
          <w:t>Segovia-Mendoza M</w:t>
        </w:r>
      </w:hyperlink>
      <w:r w:rsidR="006142BD" w:rsidRPr="00C123C3">
        <w:rPr>
          <w:rFonts w:ascii="Arial" w:hAnsi="Arial" w:cs="Arial"/>
        </w:rPr>
        <w:t>, </w:t>
      </w:r>
      <w:hyperlink r:id="rId30" w:history="1">
        <w:r w:rsidR="006142BD" w:rsidRPr="00C123C3">
          <w:rPr>
            <w:rStyle w:val="Hyperlink"/>
            <w:rFonts w:ascii="Arial" w:hAnsi="Arial" w:cs="Arial"/>
            <w:color w:val="auto"/>
            <w:u w:val="none"/>
          </w:rPr>
          <w:t>Pedraza-Sánchez S</w:t>
        </w:r>
      </w:hyperlink>
      <w:r w:rsidR="006142BD" w:rsidRPr="00C123C3">
        <w:rPr>
          <w:rFonts w:ascii="Arial" w:hAnsi="Arial" w:cs="Arial"/>
        </w:rPr>
        <w:t>, </w:t>
      </w:r>
      <w:hyperlink r:id="rId31" w:history="1">
        <w:r w:rsidR="006142BD" w:rsidRPr="00C123C3">
          <w:rPr>
            <w:rStyle w:val="Hyperlink"/>
            <w:rFonts w:ascii="Arial" w:hAnsi="Arial" w:cs="Arial"/>
            <w:color w:val="auto"/>
            <w:u w:val="none"/>
          </w:rPr>
          <w:t>Soca-Chafre G</w:t>
        </w:r>
      </w:hyperlink>
      <w:r w:rsidR="006142BD" w:rsidRPr="00C123C3">
        <w:rPr>
          <w:rFonts w:ascii="Arial" w:hAnsi="Arial" w:cs="Arial"/>
        </w:rPr>
        <w:t>, </w:t>
      </w:r>
      <w:hyperlink r:id="rId32" w:history="1">
        <w:r w:rsidR="006142BD" w:rsidRPr="00C123C3">
          <w:rPr>
            <w:rStyle w:val="Hyperlink"/>
            <w:rFonts w:ascii="Arial" w:hAnsi="Arial" w:cs="Arial"/>
            <w:color w:val="auto"/>
            <w:u w:val="none"/>
          </w:rPr>
          <w:t>Larrea F</w:t>
        </w:r>
      </w:hyperlink>
      <w:r w:rsidR="006142BD" w:rsidRPr="00C123C3">
        <w:rPr>
          <w:rFonts w:ascii="Arial" w:hAnsi="Arial" w:cs="Arial"/>
        </w:rPr>
        <w:t>, </w:t>
      </w:r>
      <w:hyperlink r:id="rId33" w:history="1">
        <w:r w:rsidR="006142BD" w:rsidRPr="00C123C3">
          <w:rPr>
            <w:rStyle w:val="Hyperlink"/>
            <w:rFonts w:ascii="Arial" w:hAnsi="Arial" w:cs="Arial"/>
            <w:color w:val="auto"/>
            <w:u w:val="none"/>
          </w:rPr>
          <w:t>García-Becerra R</w:t>
        </w:r>
      </w:hyperlink>
      <w:r w:rsidR="006142BD" w:rsidRPr="00C123C3">
        <w:rPr>
          <w:rFonts w:ascii="Arial" w:hAnsi="Arial" w:cs="Arial"/>
        </w:rPr>
        <w:t>. Calcitriol inhibits the proliferation of triple-negative breast cancer cells through a mechanism involving the proinflammatory cytokines IL-1</w:t>
      </w:r>
      <w:r w:rsidR="006142BD" w:rsidRPr="00C123C3">
        <w:rPr>
          <w:rFonts w:ascii="Arial" w:hAnsi="Arial" w:cs="Arial"/>
          <w:i/>
          <w:iCs/>
        </w:rPr>
        <w:t>β</w:t>
      </w:r>
      <w:r w:rsidR="006142BD" w:rsidRPr="00C123C3">
        <w:rPr>
          <w:rFonts w:ascii="Arial" w:hAnsi="Arial" w:cs="Arial"/>
        </w:rPr>
        <w:t> and TNF-</w:t>
      </w:r>
      <w:r w:rsidR="006142BD" w:rsidRPr="00C123C3">
        <w:rPr>
          <w:rFonts w:ascii="Arial" w:hAnsi="Arial" w:cs="Arial"/>
          <w:i/>
          <w:iCs/>
        </w:rPr>
        <w:t>α</w:t>
      </w:r>
      <w:r w:rsidR="006142BD" w:rsidRPr="00C123C3">
        <w:rPr>
          <w:rFonts w:ascii="Arial" w:hAnsi="Arial" w:cs="Arial"/>
        </w:rPr>
        <w:t xml:space="preserve">. </w:t>
      </w:r>
      <w:hyperlink r:id="rId34" w:tooltip="Journal of immunology research." w:history="1">
        <w:r w:rsidR="006142BD" w:rsidRPr="00C123C3">
          <w:rPr>
            <w:rStyle w:val="Hyperlink"/>
            <w:rFonts w:ascii="Arial" w:hAnsi="Arial" w:cs="Arial"/>
            <w:color w:val="auto"/>
            <w:u w:val="none"/>
          </w:rPr>
          <w:t>J Immunol Res</w:t>
        </w:r>
      </w:hyperlink>
      <w:r w:rsidR="004544B5" w:rsidRPr="00C123C3">
        <w:rPr>
          <w:rFonts w:ascii="Arial" w:hAnsi="Arial" w:cs="Arial"/>
        </w:rPr>
        <w:t xml:space="preserve">. </w:t>
      </w:r>
      <w:r w:rsidR="004544B5" w:rsidRPr="00C123C3">
        <w:rPr>
          <w:rFonts w:ascii="Arial" w:hAnsi="Arial" w:cs="Arial"/>
          <w:color w:val="000000"/>
          <w:shd w:val="clear" w:color="auto" w:fill="FFFFFF"/>
        </w:rPr>
        <w:t>2019 Apr 10;2019:6384278. </w:t>
      </w:r>
    </w:p>
    <w:p w:rsidR="004544B5" w:rsidRPr="00C123C3" w:rsidRDefault="00E75E79"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rPr>
        <w:t xml:space="preserve">Etemad-Moghadam S, Alaeddini M. </w:t>
      </w:r>
      <w:hyperlink r:id="rId35" w:history="1">
        <w:r w:rsidRPr="00C123C3">
          <w:rPr>
            <w:rFonts w:ascii="Arial" w:hAnsi="Arial" w:cs="Arial"/>
          </w:rPr>
          <w:t>Upregulation of ADAM10 in oral squamous cell carcinoma and its correlation with EGFR, neoangiogenesis and clinicopathologic factors.</w:t>
        </w:r>
      </w:hyperlink>
      <w:r w:rsidRPr="00C123C3">
        <w:rPr>
          <w:rFonts w:ascii="Arial" w:hAnsi="Arial" w:cs="Arial"/>
        </w:rPr>
        <w:t xml:space="preserve"> J Cra</w:t>
      </w:r>
      <w:r w:rsidR="006C3B56" w:rsidRPr="00C123C3">
        <w:rPr>
          <w:rFonts w:ascii="Arial" w:hAnsi="Arial" w:cs="Arial"/>
        </w:rPr>
        <w:t>niomaxillofac Surg</w:t>
      </w:r>
      <w:r w:rsidR="004544B5" w:rsidRPr="00C123C3">
        <w:rPr>
          <w:rFonts w:ascii="Arial" w:hAnsi="Arial" w:cs="Arial"/>
        </w:rPr>
        <w:t xml:space="preserve">. </w:t>
      </w:r>
      <w:r w:rsidR="004544B5" w:rsidRPr="00C123C3">
        <w:rPr>
          <w:rFonts w:ascii="Arial" w:hAnsi="Arial" w:cs="Arial"/>
          <w:color w:val="000000"/>
          <w:shd w:val="clear" w:color="auto" w:fill="FFFFFF"/>
        </w:rPr>
        <w:t> 2019 Oct;47(10):1583-8.</w:t>
      </w:r>
    </w:p>
    <w:p w:rsidR="005A07A8" w:rsidRDefault="00FB360A" w:rsidP="00C17DD6">
      <w:pPr>
        <w:pStyle w:val="details"/>
        <w:numPr>
          <w:ilvl w:val="0"/>
          <w:numId w:val="3"/>
        </w:numPr>
        <w:shd w:val="clear" w:color="auto" w:fill="FFFFFF"/>
        <w:spacing w:before="0" w:beforeAutospacing="0" w:after="0" w:afterAutospacing="0" w:line="480" w:lineRule="auto"/>
        <w:jc w:val="lowKashida"/>
        <w:rPr>
          <w:rFonts w:ascii="Arial" w:hAnsi="Arial" w:cs="Arial"/>
          <w:color w:val="000000" w:themeColor="text1"/>
        </w:rPr>
      </w:pPr>
      <w:r w:rsidRPr="00C123C3">
        <w:rPr>
          <w:rFonts w:ascii="Arial" w:hAnsi="Arial" w:cs="Arial"/>
          <w:color w:val="000000" w:themeColor="text1"/>
        </w:rPr>
        <w:t xml:space="preserve"> </w:t>
      </w:r>
      <w:hyperlink r:id="rId36" w:history="1">
        <w:r w:rsidR="00E75E79" w:rsidRPr="00C123C3">
          <w:rPr>
            <w:rStyle w:val="Hyperlink"/>
            <w:rFonts w:ascii="Arial" w:hAnsi="Arial" w:cs="Arial"/>
            <w:color w:val="auto"/>
            <w:u w:val="none"/>
          </w:rPr>
          <w:t>He G</w:t>
        </w:r>
      </w:hyperlink>
      <w:r w:rsidR="00E75E79" w:rsidRPr="00C123C3">
        <w:rPr>
          <w:rFonts w:ascii="Arial" w:hAnsi="Arial" w:cs="Arial"/>
        </w:rPr>
        <w:t>, </w:t>
      </w:r>
      <w:hyperlink r:id="rId37" w:history="1">
        <w:r w:rsidR="00E75E79" w:rsidRPr="00C123C3">
          <w:rPr>
            <w:rStyle w:val="Hyperlink"/>
            <w:rFonts w:ascii="Arial" w:hAnsi="Arial" w:cs="Arial"/>
            <w:color w:val="auto"/>
            <w:u w:val="none"/>
          </w:rPr>
          <w:t>Cheng C</w:t>
        </w:r>
      </w:hyperlink>
      <w:r w:rsidR="00E75E79" w:rsidRPr="00C123C3">
        <w:rPr>
          <w:rFonts w:ascii="Arial" w:hAnsi="Arial" w:cs="Arial"/>
        </w:rPr>
        <w:t>, </w:t>
      </w:r>
      <w:hyperlink r:id="rId38" w:history="1">
        <w:r w:rsidR="00E75E79" w:rsidRPr="00C123C3">
          <w:rPr>
            <w:rStyle w:val="Hyperlink"/>
            <w:rFonts w:ascii="Arial" w:hAnsi="Arial" w:cs="Arial"/>
            <w:color w:val="auto"/>
            <w:u w:val="none"/>
          </w:rPr>
          <w:t>Lu R</w:t>
        </w:r>
      </w:hyperlink>
      <w:r w:rsidR="00E75E79" w:rsidRPr="00C123C3">
        <w:rPr>
          <w:rFonts w:ascii="Arial" w:hAnsi="Arial" w:cs="Arial"/>
        </w:rPr>
        <w:t>. Studies on biological effects of </w:t>
      </w:r>
      <w:r w:rsidR="00E75E79" w:rsidRPr="00C123C3">
        <w:rPr>
          <w:rStyle w:val="highlight"/>
          <w:rFonts w:ascii="Arial" w:hAnsi="Arial" w:cs="Arial"/>
        </w:rPr>
        <w:t>kappa</w:t>
      </w:r>
      <w:r w:rsidR="00E75E79" w:rsidRPr="00C123C3">
        <w:rPr>
          <w:rFonts w:ascii="Arial" w:hAnsi="Arial" w:cs="Arial"/>
        </w:rPr>
        <w:t xml:space="preserve">-selenocarrageenan on human breast cancer cell line BCaP-37. </w:t>
      </w:r>
      <w:hyperlink r:id="rId39" w:tooltip="Zhonghua yu fang yi xue za zhi [Chinese journal of preventive medicine]." w:history="1">
        <w:r w:rsidR="00E75E79" w:rsidRPr="00C123C3">
          <w:rPr>
            <w:rStyle w:val="Hyperlink"/>
            <w:rFonts w:ascii="Arial" w:hAnsi="Arial" w:cs="Arial"/>
            <w:color w:val="auto"/>
            <w:u w:val="none"/>
          </w:rPr>
          <w:t>Zhonghua Yu Fang Yi Xue Za Zhi</w:t>
        </w:r>
      </w:hyperlink>
      <w:r w:rsidR="004544B5" w:rsidRPr="00C123C3">
        <w:rPr>
          <w:rStyle w:val="Hyperlink"/>
          <w:rFonts w:ascii="Arial" w:hAnsi="Arial" w:cs="Arial"/>
          <w:color w:val="auto"/>
          <w:u w:val="none"/>
        </w:rPr>
        <w:t>.</w:t>
      </w:r>
      <w:r w:rsidR="004544B5" w:rsidRPr="00C123C3">
        <w:rPr>
          <w:rFonts w:ascii="Arial" w:hAnsi="Arial" w:cs="Arial"/>
          <w:color w:val="000000"/>
          <w:shd w:val="clear" w:color="auto" w:fill="FFFFFF"/>
        </w:rPr>
        <w:t xml:space="preserve">  1997 Mar;31(2):103-6.</w:t>
      </w:r>
      <w:r w:rsidR="00C17DD6" w:rsidRPr="00C123C3">
        <w:rPr>
          <w:rFonts w:ascii="Arial" w:hAnsi="Arial" w:cs="Arial"/>
          <w:color w:val="000000" w:themeColor="text1"/>
        </w:rPr>
        <w:t xml:space="preserve"> </w:t>
      </w: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4432F8" w:rsidRDefault="004432F8" w:rsidP="00BD2764">
      <w:pPr>
        <w:pStyle w:val="desc"/>
        <w:shd w:val="clear" w:color="auto" w:fill="FFFFFF"/>
        <w:spacing w:before="0" w:beforeAutospacing="0" w:after="0" w:afterAutospacing="0"/>
        <w:ind w:left="360"/>
        <w:rPr>
          <w:rFonts w:asciiTheme="minorBidi" w:hAnsiTheme="minorBidi" w:cstheme="minorBidi"/>
          <w:b/>
          <w:bCs/>
          <w:noProof/>
        </w:rPr>
      </w:pPr>
    </w:p>
    <w:p w:rsidR="00BD2764" w:rsidRPr="00BD2764" w:rsidRDefault="00BD2764" w:rsidP="00BD2764">
      <w:pPr>
        <w:pStyle w:val="desc"/>
        <w:shd w:val="clear" w:color="auto" w:fill="FFFFFF"/>
        <w:spacing w:before="0" w:beforeAutospacing="0" w:after="0" w:afterAutospacing="0"/>
        <w:ind w:left="360"/>
        <w:rPr>
          <w:rFonts w:asciiTheme="minorBidi" w:hAnsiTheme="minorBidi" w:cstheme="minorBidi"/>
          <w:b/>
          <w:bCs/>
          <w:noProof/>
        </w:rPr>
      </w:pPr>
      <w:bookmarkStart w:id="0" w:name="_GoBack"/>
      <w:bookmarkEnd w:id="0"/>
      <w:r w:rsidRPr="00BD2764">
        <w:rPr>
          <w:rFonts w:asciiTheme="minorBidi" w:hAnsiTheme="minorBidi" w:cstheme="minorBidi"/>
          <w:b/>
          <w:bCs/>
          <w:noProof/>
        </w:rPr>
        <w:lastRenderedPageBreak/>
        <w:t>Figures legends</w:t>
      </w:r>
    </w:p>
    <w:p w:rsidR="00BD2764" w:rsidRPr="00BD2764" w:rsidRDefault="00BD2764" w:rsidP="00BD2764">
      <w:pPr>
        <w:pStyle w:val="desc"/>
        <w:shd w:val="clear" w:color="auto" w:fill="FFFFFF"/>
        <w:spacing w:before="0" w:beforeAutospacing="0" w:after="0" w:afterAutospacing="0"/>
        <w:ind w:left="360"/>
        <w:rPr>
          <w:rFonts w:asciiTheme="minorBidi" w:hAnsiTheme="minorBidi" w:cstheme="minorBidi"/>
          <w:noProof/>
        </w:rPr>
      </w:pPr>
    </w:p>
    <w:p w:rsidR="00BD2764" w:rsidRPr="00BD2764" w:rsidRDefault="00BD2764" w:rsidP="00BD2764">
      <w:pPr>
        <w:pStyle w:val="desc"/>
        <w:shd w:val="clear" w:color="auto" w:fill="FFFFFF"/>
        <w:spacing w:before="0" w:beforeAutospacing="0" w:after="0" w:afterAutospacing="0"/>
        <w:ind w:left="360"/>
        <w:rPr>
          <w:rFonts w:asciiTheme="minorBidi" w:hAnsiTheme="minorBidi" w:cstheme="minorBidi"/>
          <w:noProof/>
        </w:rPr>
      </w:pPr>
    </w:p>
    <w:p w:rsidR="00BD2764" w:rsidRPr="00BD2764" w:rsidRDefault="00BD2764" w:rsidP="00BD2764">
      <w:pPr>
        <w:pStyle w:val="desc"/>
        <w:shd w:val="clear" w:color="auto" w:fill="FFFFFF"/>
        <w:spacing w:before="0" w:beforeAutospacing="0" w:after="0" w:afterAutospacing="0" w:line="480" w:lineRule="auto"/>
        <w:ind w:left="360"/>
        <w:rPr>
          <w:rFonts w:asciiTheme="minorBidi" w:hAnsiTheme="minorBidi" w:cstheme="minorBidi"/>
          <w:noProof/>
        </w:rPr>
      </w:pPr>
      <w:r w:rsidRPr="00BD2764">
        <w:rPr>
          <w:rFonts w:asciiTheme="minorBidi" w:hAnsiTheme="minorBidi" w:cstheme="minorBidi"/>
          <w:noProof/>
        </w:rPr>
        <w:t>Figure 1: Percentage changes in the serum levels of epidermal growth factor recptors in rats bearing tumors, treated with oral dosage of vitamin D (Group V), topical application of κ-carrageenan (Group VI), and simultaneous administration of oral vitamin D and topical κ-carrageenan (Group VII) compared wih rats bearing tumors induced by DMBA (Group IV).</w:t>
      </w:r>
    </w:p>
    <w:p w:rsidR="00BD2764" w:rsidRPr="00BD2764" w:rsidRDefault="00BD2764" w:rsidP="00BD2764">
      <w:pPr>
        <w:pStyle w:val="desc"/>
        <w:shd w:val="clear" w:color="auto" w:fill="FFFFFF"/>
        <w:spacing w:before="0" w:beforeAutospacing="0" w:after="0" w:afterAutospacing="0" w:line="480" w:lineRule="auto"/>
        <w:ind w:left="360"/>
        <w:rPr>
          <w:rFonts w:asciiTheme="minorBidi" w:hAnsiTheme="minorBidi" w:cstheme="minorBidi"/>
          <w:noProof/>
        </w:rPr>
      </w:pPr>
    </w:p>
    <w:p w:rsidR="00BD2764" w:rsidRPr="00BD2764" w:rsidRDefault="00BD2764" w:rsidP="00BD2764">
      <w:pPr>
        <w:pStyle w:val="desc"/>
        <w:shd w:val="clear" w:color="auto" w:fill="FFFFFF"/>
        <w:spacing w:before="0" w:beforeAutospacing="0" w:after="0" w:afterAutospacing="0" w:line="480" w:lineRule="auto"/>
        <w:ind w:left="360"/>
        <w:rPr>
          <w:rFonts w:asciiTheme="minorBidi" w:hAnsiTheme="minorBidi" w:cstheme="minorBidi"/>
          <w:noProof/>
        </w:rPr>
      </w:pPr>
    </w:p>
    <w:p w:rsidR="00BD2764" w:rsidRPr="00BD2764" w:rsidRDefault="00BD2764" w:rsidP="00BD2764">
      <w:pPr>
        <w:pStyle w:val="desc"/>
        <w:shd w:val="clear" w:color="auto" w:fill="FFFFFF"/>
        <w:spacing w:before="0" w:beforeAutospacing="0" w:after="0" w:afterAutospacing="0" w:line="480" w:lineRule="auto"/>
        <w:ind w:left="360"/>
        <w:rPr>
          <w:rFonts w:asciiTheme="minorBidi" w:hAnsiTheme="minorBidi" w:cstheme="minorBidi"/>
          <w:noProof/>
        </w:rPr>
      </w:pPr>
      <w:r w:rsidRPr="00BD2764">
        <w:rPr>
          <w:rFonts w:asciiTheme="minorBidi" w:hAnsiTheme="minorBidi" w:cstheme="minorBidi"/>
          <w:noProof/>
        </w:rPr>
        <w:t>Figure 2: Percentage changes in the serum levels of tumor necrosis factor-α in rats bearing tumors, treated with oral dosage of vitamin D (Group V), topical application of κ-carrageenan (Group VI), and simultaneous administration of oral vitamin D and topical κ-carrageenan (Group VII) compared wih rats bearing tumors induced by DMBA (Group IV)</w:t>
      </w:r>
    </w:p>
    <w:p w:rsidR="00BD2764" w:rsidRPr="00BD2764" w:rsidRDefault="00BD2764" w:rsidP="00BD2764">
      <w:pPr>
        <w:pStyle w:val="desc"/>
        <w:shd w:val="clear" w:color="auto" w:fill="FFFFFF"/>
        <w:spacing w:before="0" w:beforeAutospacing="0" w:after="0" w:afterAutospacing="0"/>
        <w:ind w:left="360"/>
        <w:rPr>
          <w:rFonts w:asciiTheme="minorBidi" w:hAnsiTheme="minorBidi" w:cstheme="minorBidi"/>
          <w:color w:val="000000" w:themeColor="text1"/>
        </w:rPr>
      </w:pPr>
    </w:p>
    <w:p w:rsidR="00BD2764" w:rsidRPr="00BD2764" w:rsidRDefault="00BD2764" w:rsidP="00BD2764">
      <w:pPr>
        <w:pStyle w:val="details"/>
        <w:shd w:val="clear" w:color="auto" w:fill="FFFFFF"/>
        <w:spacing w:before="0" w:beforeAutospacing="0" w:after="0" w:afterAutospacing="0" w:line="480" w:lineRule="auto"/>
        <w:ind w:left="720"/>
        <w:jc w:val="lowKashida"/>
        <w:rPr>
          <w:rFonts w:asciiTheme="minorBidi" w:hAnsiTheme="minorBidi" w:cstheme="minorBidi"/>
          <w:color w:val="000000" w:themeColor="text1"/>
        </w:rPr>
      </w:pPr>
    </w:p>
    <w:sectPr w:rsidR="00BD2764" w:rsidRPr="00BD2764" w:rsidSect="001C1C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puterModern-Regular">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B6C"/>
    <w:multiLevelType w:val="hybridMultilevel"/>
    <w:tmpl w:val="D4847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92B09"/>
    <w:multiLevelType w:val="multilevel"/>
    <w:tmpl w:val="699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9C3523"/>
    <w:multiLevelType w:val="hybridMultilevel"/>
    <w:tmpl w:val="4EA6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92"/>
    <w:rsid w:val="00034748"/>
    <w:rsid w:val="00042704"/>
    <w:rsid w:val="000518E8"/>
    <w:rsid w:val="000856D0"/>
    <w:rsid w:val="0008679B"/>
    <w:rsid w:val="000900E3"/>
    <w:rsid w:val="000F3F54"/>
    <w:rsid w:val="00122F22"/>
    <w:rsid w:val="00134414"/>
    <w:rsid w:val="00157352"/>
    <w:rsid w:val="00184360"/>
    <w:rsid w:val="001C1C32"/>
    <w:rsid w:val="001C27B0"/>
    <w:rsid w:val="002057BC"/>
    <w:rsid w:val="002665AC"/>
    <w:rsid w:val="00274500"/>
    <w:rsid w:val="002865CF"/>
    <w:rsid w:val="002A05B8"/>
    <w:rsid w:val="002A4FF2"/>
    <w:rsid w:val="002C79C9"/>
    <w:rsid w:val="002D5DDE"/>
    <w:rsid w:val="002F090B"/>
    <w:rsid w:val="002F59C7"/>
    <w:rsid w:val="00313174"/>
    <w:rsid w:val="00327242"/>
    <w:rsid w:val="003A7061"/>
    <w:rsid w:val="003D422C"/>
    <w:rsid w:val="003E70F5"/>
    <w:rsid w:val="003E7CDA"/>
    <w:rsid w:val="003F2659"/>
    <w:rsid w:val="003F2D87"/>
    <w:rsid w:val="0040257D"/>
    <w:rsid w:val="00416D9B"/>
    <w:rsid w:val="0042607E"/>
    <w:rsid w:val="004432F8"/>
    <w:rsid w:val="00447392"/>
    <w:rsid w:val="00447A6F"/>
    <w:rsid w:val="004544B5"/>
    <w:rsid w:val="004B0481"/>
    <w:rsid w:val="004D480B"/>
    <w:rsid w:val="005316CE"/>
    <w:rsid w:val="005350E9"/>
    <w:rsid w:val="005451F8"/>
    <w:rsid w:val="00555612"/>
    <w:rsid w:val="0057269B"/>
    <w:rsid w:val="005919DE"/>
    <w:rsid w:val="005A07A8"/>
    <w:rsid w:val="005A7371"/>
    <w:rsid w:val="005B609C"/>
    <w:rsid w:val="006027B9"/>
    <w:rsid w:val="006142BD"/>
    <w:rsid w:val="00642AC2"/>
    <w:rsid w:val="006609AB"/>
    <w:rsid w:val="00673DF8"/>
    <w:rsid w:val="006760BF"/>
    <w:rsid w:val="00684BB2"/>
    <w:rsid w:val="00690234"/>
    <w:rsid w:val="0069370A"/>
    <w:rsid w:val="00695A89"/>
    <w:rsid w:val="006A41EC"/>
    <w:rsid w:val="006B5435"/>
    <w:rsid w:val="006C3B56"/>
    <w:rsid w:val="006D062E"/>
    <w:rsid w:val="006F2640"/>
    <w:rsid w:val="00704324"/>
    <w:rsid w:val="00716840"/>
    <w:rsid w:val="00717F27"/>
    <w:rsid w:val="00721499"/>
    <w:rsid w:val="00722EED"/>
    <w:rsid w:val="00743E2B"/>
    <w:rsid w:val="007564B0"/>
    <w:rsid w:val="00761F26"/>
    <w:rsid w:val="00776E4A"/>
    <w:rsid w:val="00781434"/>
    <w:rsid w:val="00786FC2"/>
    <w:rsid w:val="007C0ED8"/>
    <w:rsid w:val="007D2A5F"/>
    <w:rsid w:val="00800391"/>
    <w:rsid w:val="0083345F"/>
    <w:rsid w:val="008348DD"/>
    <w:rsid w:val="008B497E"/>
    <w:rsid w:val="00912E09"/>
    <w:rsid w:val="0092526E"/>
    <w:rsid w:val="00940E1B"/>
    <w:rsid w:val="00966BF0"/>
    <w:rsid w:val="009D4297"/>
    <w:rsid w:val="00A1761D"/>
    <w:rsid w:val="00A2184C"/>
    <w:rsid w:val="00AD23AB"/>
    <w:rsid w:val="00B46161"/>
    <w:rsid w:val="00B53ED1"/>
    <w:rsid w:val="00BA1F83"/>
    <w:rsid w:val="00BA79D9"/>
    <w:rsid w:val="00BB5F04"/>
    <w:rsid w:val="00BD2764"/>
    <w:rsid w:val="00C01CCF"/>
    <w:rsid w:val="00C123C3"/>
    <w:rsid w:val="00C17DD6"/>
    <w:rsid w:val="00C26084"/>
    <w:rsid w:val="00C37694"/>
    <w:rsid w:val="00C44209"/>
    <w:rsid w:val="00C947EB"/>
    <w:rsid w:val="00CF6B7F"/>
    <w:rsid w:val="00D31E91"/>
    <w:rsid w:val="00DA25FD"/>
    <w:rsid w:val="00E012A5"/>
    <w:rsid w:val="00E70C94"/>
    <w:rsid w:val="00E724CE"/>
    <w:rsid w:val="00E75E79"/>
    <w:rsid w:val="00E85ECA"/>
    <w:rsid w:val="00E95B37"/>
    <w:rsid w:val="00EA356F"/>
    <w:rsid w:val="00EC1C7A"/>
    <w:rsid w:val="00EC3E27"/>
    <w:rsid w:val="00F1357C"/>
    <w:rsid w:val="00F37A63"/>
    <w:rsid w:val="00F45671"/>
    <w:rsid w:val="00F61757"/>
    <w:rsid w:val="00FA4EBB"/>
    <w:rsid w:val="00FA5B38"/>
    <w:rsid w:val="00FB360A"/>
    <w:rsid w:val="00FE5955"/>
    <w:rsid w:val="00FF4BB2"/>
    <w:rsid w:val="00FF5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E70F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E70F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6084"/>
    <w:rPr>
      <w:color w:val="0000FF"/>
      <w:u w:val="single"/>
    </w:rPr>
  </w:style>
  <w:style w:type="paragraph" w:customStyle="1" w:styleId="desc">
    <w:name w:val="desc"/>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C26084"/>
  </w:style>
  <w:style w:type="paragraph" w:customStyle="1" w:styleId="Title2">
    <w:name w:val="Title2"/>
    <w:basedOn w:val="Normal"/>
    <w:rsid w:val="00704324"/>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B6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17F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
    <w:name w:val="p"/>
    <w:basedOn w:val="Normal"/>
    <w:rsid w:val="00E012A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12A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5350E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70F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E70F5"/>
    <w:rPr>
      <w:rFonts w:ascii="Times New Roman" w:eastAsia="Times New Roman" w:hAnsi="Times New Roman" w:cs="Times New Roman"/>
      <w:b/>
      <w:bCs/>
      <w:sz w:val="24"/>
      <w:szCs w:val="24"/>
    </w:rPr>
  </w:style>
  <w:style w:type="character" w:customStyle="1" w:styleId="label">
    <w:name w:val="label"/>
    <w:basedOn w:val="DefaultParagraphFont"/>
    <w:rsid w:val="003E70F5"/>
  </w:style>
  <w:style w:type="character" w:customStyle="1" w:styleId="separator">
    <w:name w:val="separator"/>
    <w:basedOn w:val="DefaultParagraphFont"/>
    <w:rsid w:val="003E70F5"/>
  </w:style>
  <w:style w:type="character" w:customStyle="1" w:styleId="value">
    <w:name w:val="value"/>
    <w:basedOn w:val="DefaultParagraphFont"/>
    <w:rsid w:val="003E70F5"/>
  </w:style>
  <w:style w:type="character" w:customStyle="1" w:styleId="highlight">
    <w:name w:val="highlight"/>
    <w:basedOn w:val="DefaultParagraphFont"/>
    <w:rsid w:val="0057269B"/>
  </w:style>
  <w:style w:type="paragraph" w:styleId="ListParagraph">
    <w:name w:val="List Paragraph"/>
    <w:basedOn w:val="Normal"/>
    <w:uiPriority w:val="34"/>
    <w:qFormat/>
    <w:rsid w:val="007564B0"/>
    <w:pPr>
      <w:ind w:left="720"/>
      <w:contextualSpacing/>
    </w:pPr>
  </w:style>
  <w:style w:type="paragraph" w:styleId="BalloonText">
    <w:name w:val="Balloon Text"/>
    <w:basedOn w:val="Normal"/>
    <w:link w:val="BalloonTextChar"/>
    <w:uiPriority w:val="99"/>
    <w:semiHidden/>
    <w:unhideWhenUsed/>
    <w:rsid w:val="00925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E70F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E70F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6084"/>
    <w:rPr>
      <w:color w:val="0000FF"/>
      <w:u w:val="single"/>
    </w:rPr>
  </w:style>
  <w:style w:type="paragraph" w:customStyle="1" w:styleId="desc">
    <w:name w:val="desc"/>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260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C26084"/>
  </w:style>
  <w:style w:type="paragraph" w:customStyle="1" w:styleId="Title2">
    <w:name w:val="Title2"/>
    <w:basedOn w:val="Normal"/>
    <w:rsid w:val="00704324"/>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B6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17F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
    <w:name w:val="p"/>
    <w:basedOn w:val="Normal"/>
    <w:rsid w:val="00E012A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12A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5350E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70F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E70F5"/>
    <w:rPr>
      <w:rFonts w:ascii="Times New Roman" w:eastAsia="Times New Roman" w:hAnsi="Times New Roman" w:cs="Times New Roman"/>
      <w:b/>
      <w:bCs/>
      <w:sz w:val="24"/>
      <w:szCs w:val="24"/>
    </w:rPr>
  </w:style>
  <w:style w:type="character" w:customStyle="1" w:styleId="label">
    <w:name w:val="label"/>
    <w:basedOn w:val="DefaultParagraphFont"/>
    <w:rsid w:val="003E70F5"/>
  </w:style>
  <w:style w:type="character" w:customStyle="1" w:styleId="separator">
    <w:name w:val="separator"/>
    <w:basedOn w:val="DefaultParagraphFont"/>
    <w:rsid w:val="003E70F5"/>
  </w:style>
  <w:style w:type="character" w:customStyle="1" w:styleId="value">
    <w:name w:val="value"/>
    <w:basedOn w:val="DefaultParagraphFont"/>
    <w:rsid w:val="003E70F5"/>
  </w:style>
  <w:style w:type="character" w:customStyle="1" w:styleId="highlight">
    <w:name w:val="highlight"/>
    <w:basedOn w:val="DefaultParagraphFont"/>
    <w:rsid w:val="0057269B"/>
  </w:style>
  <w:style w:type="paragraph" w:styleId="ListParagraph">
    <w:name w:val="List Paragraph"/>
    <w:basedOn w:val="Normal"/>
    <w:uiPriority w:val="34"/>
    <w:qFormat/>
    <w:rsid w:val="007564B0"/>
    <w:pPr>
      <w:ind w:left="720"/>
      <w:contextualSpacing/>
    </w:pPr>
  </w:style>
  <w:style w:type="paragraph" w:styleId="BalloonText">
    <w:name w:val="Balloon Text"/>
    <w:basedOn w:val="Normal"/>
    <w:link w:val="BalloonTextChar"/>
    <w:uiPriority w:val="99"/>
    <w:semiHidden/>
    <w:unhideWhenUsed/>
    <w:rsid w:val="00925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804">
      <w:bodyDiv w:val="1"/>
      <w:marLeft w:val="0"/>
      <w:marRight w:val="0"/>
      <w:marTop w:val="0"/>
      <w:marBottom w:val="0"/>
      <w:divBdr>
        <w:top w:val="none" w:sz="0" w:space="0" w:color="auto"/>
        <w:left w:val="none" w:sz="0" w:space="0" w:color="auto"/>
        <w:bottom w:val="none" w:sz="0" w:space="0" w:color="auto"/>
        <w:right w:val="none" w:sz="0" w:space="0" w:color="auto"/>
      </w:divBdr>
      <w:divsChild>
        <w:div w:id="418864905">
          <w:marLeft w:val="0"/>
          <w:marRight w:val="0"/>
          <w:marTop w:val="34"/>
          <w:marBottom w:val="34"/>
          <w:divBdr>
            <w:top w:val="none" w:sz="0" w:space="0" w:color="auto"/>
            <w:left w:val="none" w:sz="0" w:space="0" w:color="auto"/>
            <w:bottom w:val="none" w:sz="0" w:space="0" w:color="auto"/>
            <w:right w:val="none" w:sz="0" w:space="0" w:color="auto"/>
          </w:divBdr>
        </w:div>
      </w:divsChild>
    </w:div>
    <w:div w:id="59715992">
      <w:bodyDiv w:val="1"/>
      <w:marLeft w:val="0"/>
      <w:marRight w:val="0"/>
      <w:marTop w:val="0"/>
      <w:marBottom w:val="0"/>
      <w:divBdr>
        <w:top w:val="none" w:sz="0" w:space="0" w:color="auto"/>
        <w:left w:val="none" w:sz="0" w:space="0" w:color="auto"/>
        <w:bottom w:val="none" w:sz="0" w:space="0" w:color="auto"/>
        <w:right w:val="none" w:sz="0" w:space="0" w:color="auto"/>
      </w:divBdr>
    </w:div>
    <w:div w:id="120155937">
      <w:bodyDiv w:val="1"/>
      <w:marLeft w:val="0"/>
      <w:marRight w:val="0"/>
      <w:marTop w:val="0"/>
      <w:marBottom w:val="0"/>
      <w:divBdr>
        <w:top w:val="none" w:sz="0" w:space="0" w:color="auto"/>
        <w:left w:val="none" w:sz="0" w:space="0" w:color="auto"/>
        <w:bottom w:val="none" w:sz="0" w:space="0" w:color="auto"/>
        <w:right w:val="none" w:sz="0" w:space="0" w:color="auto"/>
      </w:divBdr>
      <w:divsChild>
        <w:div w:id="651907301">
          <w:marLeft w:val="0"/>
          <w:marRight w:val="0"/>
          <w:marTop w:val="34"/>
          <w:marBottom w:val="34"/>
          <w:divBdr>
            <w:top w:val="none" w:sz="0" w:space="0" w:color="auto"/>
            <w:left w:val="none" w:sz="0" w:space="0" w:color="auto"/>
            <w:bottom w:val="none" w:sz="0" w:space="0" w:color="auto"/>
            <w:right w:val="none" w:sz="0" w:space="0" w:color="auto"/>
          </w:divBdr>
        </w:div>
      </w:divsChild>
    </w:div>
    <w:div w:id="232813189">
      <w:bodyDiv w:val="1"/>
      <w:marLeft w:val="0"/>
      <w:marRight w:val="0"/>
      <w:marTop w:val="0"/>
      <w:marBottom w:val="0"/>
      <w:divBdr>
        <w:top w:val="none" w:sz="0" w:space="0" w:color="auto"/>
        <w:left w:val="none" w:sz="0" w:space="0" w:color="auto"/>
        <w:bottom w:val="none" w:sz="0" w:space="0" w:color="auto"/>
        <w:right w:val="none" w:sz="0" w:space="0" w:color="auto"/>
      </w:divBdr>
      <w:divsChild>
        <w:div w:id="1117410327">
          <w:marLeft w:val="0"/>
          <w:marRight w:val="0"/>
          <w:marTop w:val="34"/>
          <w:marBottom w:val="34"/>
          <w:divBdr>
            <w:top w:val="none" w:sz="0" w:space="0" w:color="auto"/>
            <w:left w:val="none" w:sz="0" w:space="0" w:color="auto"/>
            <w:bottom w:val="none" w:sz="0" w:space="0" w:color="auto"/>
            <w:right w:val="none" w:sz="0" w:space="0" w:color="auto"/>
          </w:divBdr>
        </w:div>
      </w:divsChild>
    </w:div>
    <w:div w:id="258369068">
      <w:bodyDiv w:val="1"/>
      <w:marLeft w:val="0"/>
      <w:marRight w:val="0"/>
      <w:marTop w:val="0"/>
      <w:marBottom w:val="0"/>
      <w:divBdr>
        <w:top w:val="none" w:sz="0" w:space="0" w:color="auto"/>
        <w:left w:val="none" w:sz="0" w:space="0" w:color="auto"/>
        <w:bottom w:val="none" w:sz="0" w:space="0" w:color="auto"/>
        <w:right w:val="none" w:sz="0" w:space="0" w:color="auto"/>
      </w:divBdr>
      <w:divsChild>
        <w:div w:id="942490866">
          <w:marLeft w:val="0"/>
          <w:marRight w:val="0"/>
          <w:marTop w:val="34"/>
          <w:marBottom w:val="34"/>
          <w:divBdr>
            <w:top w:val="none" w:sz="0" w:space="0" w:color="auto"/>
            <w:left w:val="none" w:sz="0" w:space="0" w:color="auto"/>
            <w:bottom w:val="none" w:sz="0" w:space="0" w:color="auto"/>
            <w:right w:val="none" w:sz="0" w:space="0" w:color="auto"/>
          </w:divBdr>
        </w:div>
      </w:divsChild>
    </w:div>
    <w:div w:id="282881733">
      <w:bodyDiv w:val="1"/>
      <w:marLeft w:val="0"/>
      <w:marRight w:val="0"/>
      <w:marTop w:val="0"/>
      <w:marBottom w:val="0"/>
      <w:divBdr>
        <w:top w:val="none" w:sz="0" w:space="0" w:color="auto"/>
        <w:left w:val="none" w:sz="0" w:space="0" w:color="auto"/>
        <w:bottom w:val="none" w:sz="0" w:space="0" w:color="auto"/>
        <w:right w:val="none" w:sz="0" w:space="0" w:color="auto"/>
      </w:divBdr>
    </w:div>
    <w:div w:id="722169293">
      <w:bodyDiv w:val="1"/>
      <w:marLeft w:val="0"/>
      <w:marRight w:val="0"/>
      <w:marTop w:val="0"/>
      <w:marBottom w:val="0"/>
      <w:divBdr>
        <w:top w:val="none" w:sz="0" w:space="0" w:color="auto"/>
        <w:left w:val="none" w:sz="0" w:space="0" w:color="auto"/>
        <w:bottom w:val="none" w:sz="0" w:space="0" w:color="auto"/>
        <w:right w:val="none" w:sz="0" w:space="0" w:color="auto"/>
      </w:divBdr>
    </w:div>
    <w:div w:id="738140134">
      <w:bodyDiv w:val="1"/>
      <w:marLeft w:val="0"/>
      <w:marRight w:val="0"/>
      <w:marTop w:val="0"/>
      <w:marBottom w:val="0"/>
      <w:divBdr>
        <w:top w:val="none" w:sz="0" w:space="0" w:color="auto"/>
        <w:left w:val="none" w:sz="0" w:space="0" w:color="auto"/>
        <w:bottom w:val="none" w:sz="0" w:space="0" w:color="auto"/>
        <w:right w:val="none" w:sz="0" w:space="0" w:color="auto"/>
      </w:divBdr>
      <w:divsChild>
        <w:div w:id="36703374">
          <w:marLeft w:val="0"/>
          <w:marRight w:val="0"/>
          <w:marTop w:val="120"/>
          <w:marBottom w:val="360"/>
          <w:divBdr>
            <w:top w:val="none" w:sz="0" w:space="0" w:color="auto"/>
            <w:left w:val="none" w:sz="0" w:space="0" w:color="auto"/>
            <w:bottom w:val="none" w:sz="0" w:space="0" w:color="auto"/>
            <w:right w:val="none" w:sz="0" w:space="0" w:color="auto"/>
          </w:divBdr>
          <w:divsChild>
            <w:div w:id="774521685">
              <w:marLeft w:val="0"/>
              <w:marRight w:val="0"/>
              <w:marTop w:val="0"/>
              <w:marBottom w:val="0"/>
              <w:divBdr>
                <w:top w:val="none" w:sz="0" w:space="0" w:color="auto"/>
                <w:left w:val="none" w:sz="0" w:space="0" w:color="auto"/>
                <w:bottom w:val="none" w:sz="0" w:space="0" w:color="auto"/>
                <w:right w:val="none" w:sz="0" w:space="0" w:color="auto"/>
              </w:divBdr>
            </w:div>
            <w:div w:id="986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03">
      <w:bodyDiv w:val="1"/>
      <w:marLeft w:val="0"/>
      <w:marRight w:val="0"/>
      <w:marTop w:val="0"/>
      <w:marBottom w:val="0"/>
      <w:divBdr>
        <w:top w:val="none" w:sz="0" w:space="0" w:color="auto"/>
        <w:left w:val="none" w:sz="0" w:space="0" w:color="auto"/>
        <w:bottom w:val="none" w:sz="0" w:space="0" w:color="auto"/>
        <w:right w:val="none" w:sz="0" w:space="0" w:color="auto"/>
      </w:divBdr>
      <w:divsChild>
        <w:div w:id="789661842">
          <w:marLeft w:val="0"/>
          <w:marRight w:val="0"/>
          <w:marTop w:val="34"/>
          <w:marBottom w:val="34"/>
          <w:divBdr>
            <w:top w:val="none" w:sz="0" w:space="0" w:color="auto"/>
            <w:left w:val="none" w:sz="0" w:space="0" w:color="auto"/>
            <w:bottom w:val="none" w:sz="0" w:space="0" w:color="auto"/>
            <w:right w:val="none" w:sz="0" w:space="0" w:color="auto"/>
          </w:divBdr>
        </w:div>
      </w:divsChild>
    </w:div>
    <w:div w:id="922953876">
      <w:bodyDiv w:val="1"/>
      <w:marLeft w:val="0"/>
      <w:marRight w:val="0"/>
      <w:marTop w:val="0"/>
      <w:marBottom w:val="0"/>
      <w:divBdr>
        <w:top w:val="none" w:sz="0" w:space="0" w:color="auto"/>
        <w:left w:val="none" w:sz="0" w:space="0" w:color="auto"/>
        <w:bottom w:val="none" w:sz="0" w:space="0" w:color="auto"/>
        <w:right w:val="none" w:sz="0" w:space="0" w:color="auto"/>
      </w:divBdr>
      <w:divsChild>
        <w:div w:id="1991595853">
          <w:marLeft w:val="0"/>
          <w:marRight w:val="0"/>
          <w:marTop w:val="34"/>
          <w:marBottom w:val="34"/>
          <w:divBdr>
            <w:top w:val="none" w:sz="0" w:space="0" w:color="auto"/>
            <w:left w:val="none" w:sz="0" w:space="0" w:color="auto"/>
            <w:bottom w:val="none" w:sz="0" w:space="0" w:color="auto"/>
            <w:right w:val="none" w:sz="0" w:space="0" w:color="auto"/>
          </w:divBdr>
        </w:div>
      </w:divsChild>
    </w:div>
    <w:div w:id="991442776">
      <w:bodyDiv w:val="1"/>
      <w:marLeft w:val="0"/>
      <w:marRight w:val="0"/>
      <w:marTop w:val="0"/>
      <w:marBottom w:val="0"/>
      <w:divBdr>
        <w:top w:val="none" w:sz="0" w:space="0" w:color="auto"/>
        <w:left w:val="none" w:sz="0" w:space="0" w:color="auto"/>
        <w:bottom w:val="none" w:sz="0" w:space="0" w:color="auto"/>
        <w:right w:val="none" w:sz="0" w:space="0" w:color="auto"/>
      </w:divBdr>
      <w:divsChild>
        <w:div w:id="967860079">
          <w:marLeft w:val="0"/>
          <w:marRight w:val="0"/>
          <w:marTop w:val="34"/>
          <w:marBottom w:val="34"/>
          <w:divBdr>
            <w:top w:val="none" w:sz="0" w:space="0" w:color="auto"/>
            <w:left w:val="none" w:sz="0" w:space="0" w:color="auto"/>
            <w:bottom w:val="none" w:sz="0" w:space="0" w:color="auto"/>
            <w:right w:val="none" w:sz="0" w:space="0" w:color="auto"/>
          </w:divBdr>
        </w:div>
      </w:divsChild>
    </w:div>
    <w:div w:id="1051222522">
      <w:bodyDiv w:val="1"/>
      <w:marLeft w:val="0"/>
      <w:marRight w:val="0"/>
      <w:marTop w:val="0"/>
      <w:marBottom w:val="0"/>
      <w:divBdr>
        <w:top w:val="none" w:sz="0" w:space="0" w:color="auto"/>
        <w:left w:val="none" w:sz="0" w:space="0" w:color="auto"/>
        <w:bottom w:val="none" w:sz="0" w:space="0" w:color="auto"/>
        <w:right w:val="none" w:sz="0" w:space="0" w:color="auto"/>
      </w:divBdr>
      <w:divsChild>
        <w:div w:id="48698097">
          <w:marLeft w:val="0"/>
          <w:marRight w:val="0"/>
          <w:marTop w:val="34"/>
          <w:marBottom w:val="34"/>
          <w:divBdr>
            <w:top w:val="none" w:sz="0" w:space="0" w:color="auto"/>
            <w:left w:val="none" w:sz="0" w:space="0" w:color="auto"/>
            <w:bottom w:val="none" w:sz="0" w:space="0" w:color="auto"/>
            <w:right w:val="none" w:sz="0" w:space="0" w:color="auto"/>
          </w:divBdr>
        </w:div>
      </w:divsChild>
    </w:div>
    <w:div w:id="1129128659">
      <w:bodyDiv w:val="1"/>
      <w:marLeft w:val="0"/>
      <w:marRight w:val="0"/>
      <w:marTop w:val="0"/>
      <w:marBottom w:val="0"/>
      <w:divBdr>
        <w:top w:val="none" w:sz="0" w:space="0" w:color="auto"/>
        <w:left w:val="none" w:sz="0" w:space="0" w:color="auto"/>
        <w:bottom w:val="none" w:sz="0" w:space="0" w:color="auto"/>
        <w:right w:val="none" w:sz="0" w:space="0" w:color="auto"/>
      </w:divBdr>
    </w:div>
    <w:div w:id="1351755215">
      <w:bodyDiv w:val="1"/>
      <w:marLeft w:val="0"/>
      <w:marRight w:val="0"/>
      <w:marTop w:val="0"/>
      <w:marBottom w:val="0"/>
      <w:divBdr>
        <w:top w:val="none" w:sz="0" w:space="0" w:color="auto"/>
        <w:left w:val="none" w:sz="0" w:space="0" w:color="auto"/>
        <w:bottom w:val="none" w:sz="0" w:space="0" w:color="auto"/>
        <w:right w:val="none" w:sz="0" w:space="0" w:color="auto"/>
      </w:divBdr>
      <w:divsChild>
        <w:div w:id="1175192455">
          <w:marLeft w:val="0"/>
          <w:marRight w:val="0"/>
          <w:marTop w:val="34"/>
          <w:marBottom w:val="34"/>
          <w:divBdr>
            <w:top w:val="none" w:sz="0" w:space="0" w:color="auto"/>
            <w:left w:val="none" w:sz="0" w:space="0" w:color="auto"/>
            <w:bottom w:val="none" w:sz="0" w:space="0" w:color="auto"/>
            <w:right w:val="none" w:sz="0" w:space="0" w:color="auto"/>
          </w:divBdr>
        </w:div>
      </w:divsChild>
    </w:div>
    <w:div w:id="1355958836">
      <w:bodyDiv w:val="1"/>
      <w:marLeft w:val="0"/>
      <w:marRight w:val="0"/>
      <w:marTop w:val="0"/>
      <w:marBottom w:val="0"/>
      <w:divBdr>
        <w:top w:val="none" w:sz="0" w:space="0" w:color="auto"/>
        <w:left w:val="none" w:sz="0" w:space="0" w:color="auto"/>
        <w:bottom w:val="none" w:sz="0" w:space="0" w:color="auto"/>
        <w:right w:val="none" w:sz="0" w:space="0" w:color="auto"/>
      </w:divBdr>
      <w:divsChild>
        <w:div w:id="671296213">
          <w:marLeft w:val="0"/>
          <w:marRight w:val="0"/>
          <w:marTop w:val="34"/>
          <w:marBottom w:val="34"/>
          <w:divBdr>
            <w:top w:val="none" w:sz="0" w:space="0" w:color="auto"/>
            <w:left w:val="none" w:sz="0" w:space="0" w:color="auto"/>
            <w:bottom w:val="none" w:sz="0" w:space="0" w:color="auto"/>
            <w:right w:val="none" w:sz="0" w:space="0" w:color="auto"/>
          </w:divBdr>
        </w:div>
      </w:divsChild>
    </w:div>
    <w:div w:id="1447844422">
      <w:bodyDiv w:val="1"/>
      <w:marLeft w:val="0"/>
      <w:marRight w:val="0"/>
      <w:marTop w:val="0"/>
      <w:marBottom w:val="0"/>
      <w:divBdr>
        <w:top w:val="none" w:sz="0" w:space="0" w:color="auto"/>
        <w:left w:val="none" w:sz="0" w:space="0" w:color="auto"/>
        <w:bottom w:val="none" w:sz="0" w:space="0" w:color="auto"/>
        <w:right w:val="none" w:sz="0" w:space="0" w:color="auto"/>
      </w:divBdr>
      <w:divsChild>
        <w:div w:id="158037653">
          <w:marLeft w:val="0"/>
          <w:marRight w:val="0"/>
          <w:marTop w:val="34"/>
          <w:marBottom w:val="34"/>
          <w:divBdr>
            <w:top w:val="none" w:sz="0" w:space="0" w:color="auto"/>
            <w:left w:val="none" w:sz="0" w:space="0" w:color="auto"/>
            <w:bottom w:val="none" w:sz="0" w:space="0" w:color="auto"/>
            <w:right w:val="none" w:sz="0" w:space="0" w:color="auto"/>
          </w:divBdr>
        </w:div>
      </w:divsChild>
    </w:div>
    <w:div w:id="1451893422">
      <w:bodyDiv w:val="1"/>
      <w:marLeft w:val="0"/>
      <w:marRight w:val="0"/>
      <w:marTop w:val="0"/>
      <w:marBottom w:val="0"/>
      <w:divBdr>
        <w:top w:val="none" w:sz="0" w:space="0" w:color="auto"/>
        <w:left w:val="none" w:sz="0" w:space="0" w:color="auto"/>
        <w:bottom w:val="none" w:sz="0" w:space="0" w:color="auto"/>
        <w:right w:val="none" w:sz="0" w:space="0" w:color="auto"/>
      </w:divBdr>
      <w:divsChild>
        <w:div w:id="248271877">
          <w:marLeft w:val="0"/>
          <w:marRight w:val="0"/>
          <w:marTop w:val="34"/>
          <w:marBottom w:val="34"/>
          <w:divBdr>
            <w:top w:val="none" w:sz="0" w:space="0" w:color="auto"/>
            <w:left w:val="none" w:sz="0" w:space="0" w:color="auto"/>
            <w:bottom w:val="none" w:sz="0" w:space="0" w:color="auto"/>
            <w:right w:val="none" w:sz="0" w:space="0" w:color="auto"/>
          </w:divBdr>
        </w:div>
      </w:divsChild>
    </w:div>
    <w:div w:id="1565868521">
      <w:bodyDiv w:val="1"/>
      <w:marLeft w:val="0"/>
      <w:marRight w:val="0"/>
      <w:marTop w:val="0"/>
      <w:marBottom w:val="0"/>
      <w:divBdr>
        <w:top w:val="none" w:sz="0" w:space="0" w:color="auto"/>
        <w:left w:val="none" w:sz="0" w:space="0" w:color="auto"/>
        <w:bottom w:val="none" w:sz="0" w:space="0" w:color="auto"/>
        <w:right w:val="none" w:sz="0" w:space="0" w:color="auto"/>
      </w:divBdr>
      <w:divsChild>
        <w:div w:id="104665525">
          <w:marLeft w:val="0"/>
          <w:marRight w:val="0"/>
          <w:marTop w:val="34"/>
          <w:marBottom w:val="34"/>
          <w:divBdr>
            <w:top w:val="none" w:sz="0" w:space="0" w:color="auto"/>
            <w:left w:val="none" w:sz="0" w:space="0" w:color="auto"/>
            <w:bottom w:val="none" w:sz="0" w:space="0" w:color="auto"/>
            <w:right w:val="none" w:sz="0" w:space="0" w:color="auto"/>
          </w:divBdr>
        </w:div>
      </w:divsChild>
    </w:div>
    <w:div w:id="1668551356">
      <w:bodyDiv w:val="1"/>
      <w:marLeft w:val="0"/>
      <w:marRight w:val="0"/>
      <w:marTop w:val="0"/>
      <w:marBottom w:val="0"/>
      <w:divBdr>
        <w:top w:val="none" w:sz="0" w:space="0" w:color="auto"/>
        <w:left w:val="none" w:sz="0" w:space="0" w:color="auto"/>
        <w:bottom w:val="none" w:sz="0" w:space="0" w:color="auto"/>
        <w:right w:val="none" w:sz="0" w:space="0" w:color="auto"/>
      </w:divBdr>
      <w:divsChild>
        <w:div w:id="403377169">
          <w:marLeft w:val="0"/>
          <w:marRight w:val="0"/>
          <w:marTop w:val="34"/>
          <w:marBottom w:val="34"/>
          <w:divBdr>
            <w:top w:val="none" w:sz="0" w:space="0" w:color="auto"/>
            <w:left w:val="none" w:sz="0" w:space="0" w:color="auto"/>
            <w:bottom w:val="none" w:sz="0" w:space="0" w:color="auto"/>
            <w:right w:val="none" w:sz="0" w:space="0" w:color="auto"/>
          </w:divBdr>
        </w:div>
      </w:divsChild>
    </w:div>
    <w:div w:id="1707217961">
      <w:bodyDiv w:val="1"/>
      <w:marLeft w:val="0"/>
      <w:marRight w:val="0"/>
      <w:marTop w:val="0"/>
      <w:marBottom w:val="0"/>
      <w:divBdr>
        <w:top w:val="none" w:sz="0" w:space="0" w:color="auto"/>
        <w:left w:val="none" w:sz="0" w:space="0" w:color="auto"/>
        <w:bottom w:val="none" w:sz="0" w:space="0" w:color="auto"/>
        <w:right w:val="none" w:sz="0" w:space="0" w:color="auto"/>
      </w:divBdr>
    </w:div>
    <w:div w:id="1758096082">
      <w:bodyDiv w:val="1"/>
      <w:marLeft w:val="0"/>
      <w:marRight w:val="0"/>
      <w:marTop w:val="0"/>
      <w:marBottom w:val="0"/>
      <w:divBdr>
        <w:top w:val="none" w:sz="0" w:space="0" w:color="auto"/>
        <w:left w:val="none" w:sz="0" w:space="0" w:color="auto"/>
        <w:bottom w:val="none" w:sz="0" w:space="0" w:color="auto"/>
        <w:right w:val="none" w:sz="0" w:space="0" w:color="auto"/>
      </w:divBdr>
      <w:divsChild>
        <w:div w:id="262226701">
          <w:marLeft w:val="0"/>
          <w:marRight w:val="0"/>
          <w:marTop w:val="34"/>
          <w:marBottom w:val="34"/>
          <w:divBdr>
            <w:top w:val="none" w:sz="0" w:space="0" w:color="auto"/>
            <w:left w:val="none" w:sz="0" w:space="0" w:color="auto"/>
            <w:bottom w:val="none" w:sz="0" w:space="0" w:color="auto"/>
            <w:right w:val="none" w:sz="0" w:space="0" w:color="auto"/>
          </w:divBdr>
        </w:div>
      </w:divsChild>
    </w:div>
    <w:div w:id="1802335303">
      <w:bodyDiv w:val="1"/>
      <w:marLeft w:val="0"/>
      <w:marRight w:val="0"/>
      <w:marTop w:val="0"/>
      <w:marBottom w:val="0"/>
      <w:divBdr>
        <w:top w:val="none" w:sz="0" w:space="0" w:color="auto"/>
        <w:left w:val="none" w:sz="0" w:space="0" w:color="auto"/>
        <w:bottom w:val="none" w:sz="0" w:space="0" w:color="auto"/>
        <w:right w:val="none" w:sz="0" w:space="0" w:color="auto"/>
      </w:divBdr>
      <w:divsChild>
        <w:div w:id="2002660281">
          <w:marLeft w:val="0"/>
          <w:marRight w:val="0"/>
          <w:marTop w:val="34"/>
          <w:marBottom w:val="34"/>
          <w:divBdr>
            <w:top w:val="none" w:sz="0" w:space="0" w:color="auto"/>
            <w:left w:val="none" w:sz="0" w:space="0" w:color="auto"/>
            <w:bottom w:val="none" w:sz="0" w:space="0" w:color="auto"/>
            <w:right w:val="none" w:sz="0" w:space="0" w:color="auto"/>
          </w:divBdr>
        </w:div>
      </w:divsChild>
    </w:div>
    <w:div w:id="1926109306">
      <w:bodyDiv w:val="1"/>
      <w:marLeft w:val="0"/>
      <w:marRight w:val="0"/>
      <w:marTop w:val="0"/>
      <w:marBottom w:val="0"/>
      <w:divBdr>
        <w:top w:val="none" w:sz="0" w:space="0" w:color="auto"/>
        <w:left w:val="none" w:sz="0" w:space="0" w:color="auto"/>
        <w:bottom w:val="none" w:sz="0" w:space="0" w:color="auto"/>
        <w:right w:val="none" w:sz="0" w:space="0" w:color="auto"/>
      </w:divBdr>
      <w:divsChild>
        <w:div w:id="1050302623">
          <w:marLeft w:val="0"/>
          <w:marRight w:val="0"/>
          <w:marTop w:val="34"/>
          <w:marBottom w:val="34"/>
          <w:divBdr>
            <w:top w:val="none" w:sz="0" w:space="0" w:color="auto"/>
            <w:left w:val="none" w:sz="0" w:space="0" w:color="auto"/>
            <w:bottom w:val="none" w:sz="0" w:space="0" w:color="auto"/>
            <w:right w:val="none" w:sz="0" w:space="0" w:color="auto"/>
          </w:divBdr>
        </w:div>
      </w:divsChild>
    </w:div>
    <w:div w:id="2017805235">
      <w:bodyDiv w:val="1"/>
      <w:marLeft w:val="0"/>
      <w:marRight w:val="0"/>
      <w:marTop w:val="0"/>
      <w:marBottom w:val="0"/>
      <w:divBdr>
        <w:top w:val="none" w:sz="0" w:space="0" w:color="auto"/>
        <w:left w:val="none" w:sz="0" w:space="0" w:color="auto"/>
        <w:bottom w:val="none" w:sz="0" w:space="0" w:color="auto"/>
        <w:right w:val="none" w:sz="0" w:space="0" w:color="auto"/>
      </w:divBdr>
      <w:divsChild>
        <w:div w:id="628783462">
          <w:marLeft w:val="0"/>
          <w:marRight w:val="0"/>
          <w:marTop w:val="34"/>
          <w:marBottom w:val="34"/>
          <w:divBdr>
            <w:top w:val="none" w:sz="0" w:space="0" w:color="auto"/>
            <w:left w:val="none" w:sz="0" w:space="0" w:color="auto"/>
            <w:bottom w:val="none" w:sz="0" w:space="0" w:color="auto"/>
            <w:right w:val="none" w:sz="0" w:space="0" w:color="auto"/>
          </w:divBdr>
        </w:div>
      </w:divsChild>
    </w:div>
    <w:div w:id="2033022177">
      <w:bodyDiv w:val="1"/>
      <w:marLeft w:val="0"/>
      <w:marRight w:val="0"/>
      <w:marTop w:val="0"/>
      <w:marBottom w:val="0"/>
      <w:divBdr>
        <w:top w:val="none" w:sz="0" w:space="0" w:color="auto"/>
        <w:left w:val="none" w:sz="0" w:space="0" w:color="auto"/>
        <w:bottom w:val="none" w:sz="0" w:space="0" w:color="auto"/>
        <w:right w:val="none" w:sz="0" w:space="0" w:color="auto"/>
      </w:divBdr>
      <w:divsChild>
        <w:div w:id="62527052">
          <w:marLeft w:val="0"/>
          <w:marRight w:val="0"/>
          <w:marTop w:val="34"/>
          <w:marBottom w:val="34"/>
          <w:divBdr>
            <w:top w:val="none" w:sz="0" w:space="0" w:color="auto"/>
            <w:left w:val="none" w:sz="0" w:space="0" w:color="auto"/>
            <w:bottom w:val="none" w:sz="0" w:space="0" w:color="auto"/>
            <w:right w:val="none" w:sz="0" w:space="0" w:color="auto"/>
          </w:divBdr>
        </w:div>
      </w:divsChild>
    </w:div>
    <w:div w:id="2034452482">
      <w:bodyDiv w:val="1"/>
      <w:marLeft w:val="0"/>
      <w:marRight w:val="0"/>
      <w:marTop w:val="0"/>
      <w:marBottom w:val="0"/>
      <w:divBdr>
        <w:top w:val="none" w:sz="0" w:space="0" w:color="auto"/>
        <w:left w:val="none" w:sz="0" w:space="0" w:color="auto"/>
        <w:bottom w:val="none" w:sz="0" w:space="0" w:color="auto"/>
        <w:right w:val="none" w:sz="0" w:space="0" w:color="auto"/>
      </w:divBdr>
      <w:divsChild>
        <w:div w:id="86915175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1080481" TargetMode="External"/><Relationship Id="rId13" Type="http://schemas.openxmlformats.org/officeDocument/2006/relationships/hyperlink" Target="https://www.ncbi.nlm.nih.gov/pubmed/30841540" TargetMode="External"/><Relationship Id="rId18" Type="http://schemas.openxmlformats.org/officeDocument/2006/relationships/hyperlink" Target="https://www.ncbi.nlm.nih.gov/pubmed/30232176" TargetMode="External"/><Relationship Id="rId26" Type="http://schemas.openxmlformats.org/officeDocument/2006/relationships/hyperlink" Target="https://www.ncbi.nlm.nih.gov/pubmed/?term=Mart%C3%ADnez-Reza%20I%5BAuthor%5D&amp;cauthor=true&amp;cauthor_uid=31093512" TargetMode="External"/><Relationship Id="rId39" Type="http://schemas.openxmlformats.org/officeDocument/2006/relationships/hyperlink" Target="https://www.ncbi.nlm.nih.gov/pubmed/9812623" TargetMode="External"/><Relationship Id="rId3" Type="http://schemas.microsoft.com/office/2007/relationships/stylesWithEffects" Target="stylesWithEffects.xml"/><Relationship Id="rId21" Type="http://schemas.openxmlformats.org/officeDocument/2006/relationships/hyperlink" Target="https://www.ncbi.nlm.nih.gov/pubmed/31350970" TargetMode="External"/><Relationship Id="rId34" Type="http://schemas.openxmlformats.org/officeDocument/2006/relationships/hyperlink" Target="https://www.ncbi.nlm.nih.gov/pubmed/31093512" TargetMode="External"/><Relationship Id="rId7" Type="http://schemas.openxmlformats.org/officeDocument/2006/relationships/hyperlink" Target="https://www.ncbi.nlm.nih.gov/pubmed/31165240" TargetMode="External"/><Relationship Id="rId12" Type="http://schemas.openxmlformats.org/officeDocument/2006/relationships/hyperlink" Target="https://www.ncbi.nlm.nih.gov/pubmed/30582219" TargetMode="External"/><Relationship Id="rId17" Type="http://schemas.openxmlformats.org/officeDocument/2006/relationships/hyperlink" Target="https://www.ncbi.nlm.nih.gov/pubmed/31040376" TargetMode="External"/><Relationship Id="rId25" Type="http://schemas.openxmlformats.org/officeDocument/2006/relationships/hyperlink" Target="https://www.ncbi.nlm.nih.gov/pubmed/31215652" TargetMode="External"/><Relationship Id="rId33" Type="http://schemas.openxmlformats.org/officeDocument/2006/relationships/hyperlink" Target="https://www.ncbi.nlm.nih.gov/pubmed/?term=Garc%C3%ADa-Becerra%20R%5BAuthor%5D&amp;cauthor=true&amp;cauthor_uid=31093512" TargetMode="External"/><Relationship Id="rId38" Type="http://schemas.openxmlformats.org/officeDocument/2006/relationships/hyperlink" Target="https://www.ncbi.nlm.nih.gov/pubmed/?term=Lu%20R%5BAuthor%5D&amp;cauthor=true&amp;cauthor_uid=9812623" TargetMode="External"/><Relationship Id="rId2" Type="http://schemas.openxmlformats.org/officeDocument/2006/relationships/styles" Target="styles.xml"/><Relationship Id="rId16" Type="http://schemas.openxmlformats.org/officeDocument/2006/relationships/hyperlink" Target="https://www.ncbi.nlm.nih.gov/pubmed/29427681" TargetMode="External"/><Relationship Id="rId20" Type="http://schemas.openxmlformats.org/officeDocument/2006/relationships/hyperlink" Target="https://www.ncbi.nlm.nih.gov/pubmed/31055734" TargetMode="External"/><Relationship Id="rId29" Type="http://schemas.openxmlformats.org/officeDocument/2006/relationships/hyperlink" Target="https://www.ncbi.nlm.nih.gov/pubmed/?term=Segovia-Mendoza%20M%5BAuthor%5D&amp;cauthor=true&amp;cauthor_uid=310935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31202267" TargetMode="External"/><Relationship Id="rId11" Type="http://schemas.openxmlformats.org/officeDocument/2006/relationships/hyperlink" Target="https://www.ncbi.nlm.nih.gov/pubmed/30583225" TargetMode="External"/><Relationship Id="rId24" Type="http://schemas.openxmlformats.org/officeDocument/2006/relationships/hyperlink" Target="https://www.ncbi.nlm.nih.gov/pubmed/30565030" TargetMode="External"/><Relationship Id="rId32" Type="http://schemas.openxmlformats.org/officeDocument/2006/relationships/hyperlink" Target="https://www.ncbi.nlm.nih.gov/pubmed/?term=Larrea%20F%5BAuthor%5D&amp;cauthor=true&amp;cauthor_uid=31093512" TargetMode="External"/><Relationship Id="rId37" Type="http://schemas.openxmlformats.org/officeDocument/2006/relationships/hyperlink" Target="https://www.ncbi.nlm.nih.gov/pubmed/?term=Cheng%20C%5BAuthor%5D&amp;cauthor=true&amp;cauthor_uid=981262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31129204" TargetMode="External"/><Relationship Id="rId23" Type="http://schemas.openxmlformats.org/officeDocument/2006/relationships/hyperlink" Target="https://www.ncbi.nlm.nih.gov/pubmed/29272054" TargetMode="External"/><Relationship Id="rId28" Type="http://schemas.openxmlformats.org/officeDocument/2006/relationships/hyperlink" Target="https://www.ncbi.nlm.nih.gov/pubmed/?term=Barrera%20D%5BAuthor%5D&amp;cauthor=true&amp;cauthor_uid=31093512" TargetMode="External"/><Relationship Id="rId36" Type="http://schemas.openxmlformats.org/officeDocument/2006/relationships/hyperlink" Target="https://www.ncbi.nlm.nih.gov/pubmed/?term=He%20G%5BAuthor%5D&amp;cauthor=true&amp;cauthor_uid=9812623" TargetMode="External"/><Relationship Id="rId10" Type="http://schemas.openxmlformats.org/officeDocument/2006/relationships/hyperlink" Target="https://www.ncbi.nlm.nih.gov/pubmed/30663412" TargetMode="External"/><Relationship Id="rId19" Type="http://schemas.openxmlformats.org/officeDocument/2006/relationships/hyperlink" Target="https://www.ncbi.nlm.nih.gov/pubmed/30733856" TargetMode="External"/><Relationship Id="rId31" Type="http://schemas.openxmlformats.org/officeDocument/2006/relationships/hyperlink" Target="https://www.ncbi.nlm.nih.gov/pubmed/?term=Soca-Chafre%20G%5BAuthor%5D&amp;cauthor=true&amp;cauthor_uid=31093512" TargetMode="External"/><Relationship Id="rId4" Type="http://schemas.openxmlformats.org/officeDocument/2006/relationships/settings" Target="settings.xml"/><Relationship Id="rId9" Type="http://schemas.openxmlformats.org/officeDocument/2006/relationships/hyperlink" Target="https://www.ncbi.nlm.nih.gov/pubmed/30924043" TargetMode="External"/><Relationship Id="rId14" Type="http://schemas.openxmlformats.org/officeDocument/2006/relationships/hyperlink" Target="https://www.ncbi.nlm.nih.gov/pubmed/30388746" TargetMode="External"/><Relationship Id="rId22" Type="http://schemas.openxmlformats.org/officeDocument/2006/relationships/hyperlink" Target="https://www.ncbi.nlm.nih.gov/pubmed/31345665" TargetMode="External"/><Relationship Id="rId27" Type="http://schemas.openxmlformats.org/officeDocument/2006/relationships/hyperlink" Target="https://www.ncbi.nlm.nih.gov/pubmed/?term=D%C3%ADaz%20L%5BAuthor%5D&amp;cauthor=true&amp;cauthor_uid=31093512" TargetMode="External"/><Relationship Id="rId30" Type="http://schemas.openxmlformats.org/officeDocument/2006/relationships/hyperlink" Target="https://www.ncbi.nlm.nih.gov/pubmed/?term=Pedraza-S%C3%A1nchez%20S%5BAuthor%5D&amp;cauthor=true&amp;cauthor_uid=31093512" TargetMode="External"/><Relationship Id="rId35" Type="http://schemas.openxmlformats.org/officeDocument/2006/relationships/hyperlink" Target="https://www.ncbi.nlm.nih.gov/pubmed/31395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15</Pages>
  <Words>3569</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DR.Ahmed Saker</cp:lastModifiedBy>
  <cp:revision>64</cp:revision>
  <cp:lastPrinted>2019-07-29T18:43:00Z</cp:lastPrinted>
  <dcterms:created xsi:type="dcterms:W3CDTF">2019-07-13T14:02:00Z</dcterms:created>
  <dcterms:modified xsi:type="dcterms:W3CDTF">2019-11-02T07:16:00Z</dcterms:modified>
</cp:coreProperties>
</file>